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8EA" w:rsidRPr="001203BD" w:rsidRDefault="008E7B04" w:rsidP="00994055">
      <w:pPr>
        <w:spacing w:after="120"/>
        <w:ind w:right="-7"/>
        <w:jc w:val="both"/>
        <w:rPr>
          <w:lang w:val="hr-HR"/>
        </w:rPr>
      </w:pPr>
      <w:r>
        <w:rPr>
          <w:lang w:val="hr-HR"/>
        </w:rPr>
        <w:t xml:space="preserve">Alena Kurspahić Nadarević i </w:t>
      </w:r>
      <w:r w:rsidR="00311D21" w:rsidRPr="001203BD">
        <w:rPr>
          <w:lang w:val="hr-HR"/>
        </w:rPr>
        <w:t xml:space="preserve">Mirza </w:t>
      </w:r>
      <w:r w:rsidR="008B2DA3" w:rsidRPr="001203BD">
        <w:rPr>
          <w:lang w:val="hr-HR"/>
        </w:rPr>
        <w:t>H.Omerović</w:t>
      </w:r>
      <w:r w:rsidR="003B6124" w:rsidRPr="001203BD">
        <w:rPr>
          <w:rStyle w:val="Funotenzeichen"/>
          <w:lang w:val="hr-HR"/>
        </w:rPr>
        <w:footnoteReference w:customMarkFollows="1" w:id="1"/>
        <w:sym w:font="Symbol" w:char="F02A"/>
      </w:r>
    </w:p>
    <w:p w:rsidR="00311D21" w:rsidRPr="001203BD" w:rsidRDefault="00311D21" w:rsidP="00994055">
      <w:pPr>
        <w:spacing w:after="120"/>
        <w:ind w:right="-7"/>
        <w:jc w:val="both"/>
        <w:rPr>
          <w:b/>
          <w:sz w:val="26"/>
          <w:szCs w:val="26"/>
          <w:lang w:val="hr-HR"/>
        </w:rPr>
      </w:pPr>
    </w:p>
    <w:p w:rsidR="006116B8" w:rsidRPr="00355E60" w:rsidRDefault="008E7B04" w:rsidP="00C506D7">
      <w:pPr>
        <w:spacing w:after="120"/>
        <w:ind w:right="-7"/>
        <w:jc w:val="center"/>
        <w:rPr>
          <w:b/>
          <w:lang w:val="hr-HR"/>
        </w:rPr>
      </w:pPr>
      <w:r>
        <w:rPr>
          <w:b/>
          <w:lang w:val="hr-HR"/>
        </w:rPr>
        <w:t>Funkcionalna nezavisnost sudija i tužilaca u svjetlu disciplinske prakse V</w:t>
      </w:r>
      <w:r w:rsidR="00871951">
        <w:rPr>
          <w:b/>
          <w:lang w:val="hr-HR"/>
        </w:rPr>
        <w:t>STV-a</w:t>
      </w:r>
      <w:r>
        <w:rPr>
          <w:b/>
          <w:lang w:val="hr-HR"/>
        </w:rPr>
        <w:t xml:space="preserve"> BiH</w:t>
      </w:r>
    </w:p>
    <w:p w:rsidR="006116B8" w:rsidRPr="001203BD" w:rsidRDefault="006116B8" w:rsidP="00871951">
      <w:pPr>
        <w:spacing w:after="120"/>
        <w:ind w:right="-7"/>
        <w:rPr>
          <w:b/>
          <w:lang w:val="hr-HR"/>
        </w:rPr>
      </w:pPr>
    </w:p>
    <w:p w:rsidR="00DB3674" w:rsidRPr="00871951" w:rsidRDefault="00DB3674" w:rsidP="001911DA">
      <w:pPr>
        <w:spacing w:after="120"/>
        <w:ind w:right="-7"/>
        <w:jc w:val="both"/>
        <w:rPr>
          <w:bCs/>
          <w:lang w:val="hr-HR"/>
        </w:rPr>
      </w:pPr>
      <w:r w:rsidRPr="00871951">
        <w:rPr>
          <w:bCs/>
          <w:lang w:val="hr-HR"/>
        </w:rPr>
        <w:t>Sadržaj</w:t>
      </w:r>
      <w:r w:rsidR="00355E60" w:rsidRPr="00871951">
        <w:rPr>
          <w:bCs/>
          <w:lang w:val="hr-HR"/>
        </w:rPr>
        <w:t>:</w:t>
      </w:r>
    </w:p>
    <w:p w:rsidR="00DB3674" w:rsidRPr="008D587C" w:rsidRDefault="00DB3674" w:rsidP="005F66EB">
      <w:pPr>
        <w:numPr>
          <w:ilvl w:val="0"/>
          <w:numId w:val="12"/>
        </w:numPr>
        <w:ind w:right="-6"/>
        <w:jc w:val="both"/>
        <w:rPr>
          <w:b/>
          <w:bCs/>
          <w:lang w:val="hr-HR"/>
        </w:rPr>
      </w:pPr>
      <w:r w:rsidRPr="008D587C">
        <w:rPr>
          <w:b/>
          <w:bCs/>
          <w:lang w:val="hr-HR"/>
        </w:rPr>
        <w:t>Uvod</w:t>
      </w:r>
    </w:p>
    <w:p w:rsidR="00355E60" w:rsidRDefault="00387723" w:rsidP="00355E60">
      <w:pPr>
        <w:numPr>
          <w:ilvl w:val="0"/>
          <w:numId w:val="12"/>
        </w:numPr>
        <w:ind w:right="-6"/>
        <w:jc w:val="both"/>
        <w:rPr>
          <w:b/>
          <w:bCs/>
          <w:lang w:val="hr-HR"/>
        </w:rPr>
      </w:pPr>
      <w:r>
        <w:rPr>
          <w:b/>
          <w:bCs/>
          <w:lang w:val="hr-HR"/>
        </w:rPr>
        <w:t>Normativni okvir</w:t>
      </w:r>
    </w:p>
    <w:p w:rsidR="0043179B" w:rsidRPr="008D587C" w:rsidRDefault="0043179B" w:rsidP="0043179B">
      <w:pPr>
        <w:numPr>
          <w:ilvl w:val="0"/>
          <w:numId w:val="12"/>
        </w:numPr>
        <w:ind w:right="-6"/>
        <w:jc w:val="both"/>
        <w:rPr>
          <w:b/>
          <w:bCs/>
          <w:lang w:val="hr-HR"/>
        </w:rPr>
      </w:pPr>
      <w:r>
        <w:rPr>
          <w:b/>
          <w:bCs/>
          <w:lang w:val="hr-HR"/>
        </w:rPr>
        <w:t>Funkcionalni imunitet sudija – disciplinska praksa</w:t>
      </w:r>
    </w:p>
    <w:p w:rsidR="0043179B" w:rsidRDefault="0043179B" w:rsidP="00355E60">
      <w:pPr>
        <w:numPr>
          <w:ilvl w:val="0"/>
          <w:numId w:val="12"/>
        </w:numPr>
        <w:ind w:right="-6"/>
        <w:jc w:val="both"/>
        <w:rPr>
          <w:b/>
          <w:bCs/>
          <w:lang w:val="hr-HR"/>
        </w:rPr>
      </w:pPr>
      <w:bookmarkStart w:id="0" w:name="_Hlk114402309"/>
      <w:r>
        <w:rPr>
          <w:b/>
          <w:bCs/>
          <w:lang w:val="hr-HR"/>
        </w:rPr>
        <w:t>Funkcionalni imunitet tužilaca – disciplinska praksa</w:t>
      </w:r>
    </w:p>
    <w:p w:rsidR="00394293" w:rsidRPr="008D587C" w:rsidRDefault="00394293" w:rsidP="00355E60">
      <w:pPr>
        <w:numPr>
          <w:ilvl w:val="0"/>
          <w:numId w:val="12"/>
        </w:numPr>
        <w:ind w:right="-6"/>
        <w:jc w:val="both"/>
        <w:rPr>
          <w:b/>
          <w:bCs/>
          <w:lang w:val="hr-HR"/>
        </w:rPr>
      </w:pPr>
      <w:r>
        <w:rPr>
          <w:b/>
          <w:bCs/>
          <w:lang w:val="hr-HR"/>
        </w:rPr>
        <w:t>Zaključak</w:t>
      </w:r>
    </w:p>
    <w:bookmarkEnd w:id="0"/>
    <w:p w:rsidR="00DB3674" w:rsidRDefault="00570715" w:rsidP="005C604F">
      <w:pPr>
        <w:pStyle w:val="Verzeichnis1"/>
        <w:rPr>
          <w:lang w:val="hr-HR"/>
        </w:rPr>
      </w:pPr>
      <w:r w:rsidRPr="001203BD">
        <w:rPr>
          <w:lang w:val="hr-HR"/>
        </w:rPr>
        <w:t xml:space="preserve"> </w:t>
      </w:r>
    </w:p>
    <w:p w:rsidR="005F6E2B" w:rsidRPr="005F6E2B" w:rsidRDefault="005F6E2B" w:rsidP="005F6E2B">
      <w:pPr>
        <w:rPr>
          <w:b/>
          <w:bCs/>
          <w:lang w:val="hr-HR"/>
        </w:rPr>
      </w:pPr>
      <w:bookmarkStart w:id="1" w:name="_Hlk114401341"/>
      <w:r w:rsidRPr="005F6E2B">
        <w:rPr>
          <w:b/>
          <w:bCs/>
          <w:lang w:val="hr-HR"/>
        </w:rPr>
        <w:t>1. Uvod</w:t>
      </w:r>
    </w:p>
    <w:bookmarkEnd w:id="1"/>
    <w:p w:rsidR="005F6E2B" w:rsidRDefault="005F6E2B" w:rsidP="00EF247B">
      <w:pPr>
        <w:pStyle w:val="Naslov1"/>
      </w:pPr>
    </w:p>
    <w:p w:rsidR="00710378" w:rsidRPr="005034C4" w:rsidRDefault="00710378" w:rsidP="00EF247B">
      <w:pPr>
        <w:pStyle w:val="Naslov1"/>
        <w:rPr>
          <w:b w:val="0"/>
          <w:bCs w:val="0"/>
        </w:rPr>
      </w:pPr>
      <w:r w:rsidRPr="005034C4">
        <w:rPr>
          <w:b w:val="0"/>
          <w:bCs w:val="0"/>
        </w:rPr>
        <w:t>Sudijska nezavisnost</w:t>
      </w:r>
      <w:r w:rsidR="0094303B" w:rsidRPr="005034C4">
        <w:rPr>
          <w:rStyle w:val="Funotenzeichen"/>
          <w:b w:val="0"/>
          <w:bCs w:val="0"/>
        </w:rPr>
        <w:footnoteReference w:id="2"/>
      </w:r>
      <w:r w:rsidRPr="005034C4">
        <w:rPr>
          <w:b w:val="0"/>
          <w:bCs w:val="0"/>
        </w:rPr>
        <w:t xml:space="preserve"> je jedan od ključnih elemenata potrebnih za uspješnu uspostavu vladavine prava, a njena </w:t>
      </w:r>
      <w:r w:rsidR="006C720D">
        <w:rPr>
          <w:b w:val="0"/>
          <w:bCs w:val="0"/>
        </w:rPr>
        <w:t>glavna</w:t>
      </w:r>
      <w:r w:rsidRPr="005034C4">
        <w:rPr>
          <w:b w:val="0"/>
          <w:bCs w:val="0"/>
        </w:rPr>
        <w:t xml:space="preserve"> komponenta je nezavisnost sudije u donošenju odluka prilikom obavljanja vlastite dužnosti. Sudija mora biti </w:t>
      </w:r>
      <w:r w:rsidR="00F64301" w:rsidRPr="005034C4">
        <w:rPr>
          <w:b w:val="0"/>
          <w:bCs w:val="0"/>
        </w:rPr>
        <w:t xml:space="preserve">slobodan od svih neprimjerenih uticaja, pa i od </w:t>
      </w:r>
      <w:r w:rsidR="0006747A">
        <w:rPr>
          <w:b w:val="0"/>
          <w:bCs w:val="0"/>
        </w:rPr>
        <w:t>bojazni</w:t>
      </w:r>
      <w:r w:rsidR="00F64301" w:rsidRPr="005034C4">
        <w:rPr>
          <w:b w:val="0"/>
          <w:bCs w:val="0"/>
        </w:rPr>
        <w:t xml:space="preserve"> od vlastitog neosnovanog </w:t>
      </w:r>
      <w:r w:rsidR="001666E0" w:rsidRPr="005034C4">
        <w:rPr>
          <w:b w:val="0"/>
          <w:bCs w:val="0"/>
        </w:rPr>
        <w:t>sankcionisanja</w:t>
      </w:r>
      <w:r w:rsidR="00F64301" w:rsidRPr="005034C4">
        <w:rPr>
          <w:b w:val="0"/>
          <w:bCs w:val="0"/>
        </w:rPr>
        <w:t xml:space="preserve"> </w:t>
      </w:r>
      <w:r w:rsidR="001666E0" w:rsidRPr="005034C4">
        <w:rPr>
          <w:b w:val="0"/>
          <w:bCs w:val="0"/>
        </w:rPr>
        <w:t xml:space="preserve">za odluku koju je donio ili mišljenje koje je istakao u odluci. </w:t>
      </w:r>
    </w:p>
    <w:p w:rsidR="00370F8E" w:rsidRDefault="001666E0" w:rsidP="005810A3">
      <w:pPr>
        <w:spacing w:after="120"/>
        <w:ind w:right="-7"/>
        <w:jc w:val="both"/>
        <w:rPr>
          <w:lang w:val="hr-HR"/>
        </w:rPr>
      </w:pPr>
      <w:r>
        <w:rPr>
          <w:lang w:val="hr-HR"/>
        </w:rPr>
        <w:t xml:space="preserve">U uporednom pravu </w:t>
      </w:r>
      <w:r w:rsidR="004D2256">
        <w:rPr>
          <w:lang w:val="hr-HR"/>
        </w:rPr>
        <w:t>se često susreće</w:t>
      </w:r>
      <w:r>
        <w:rPr>
          <w:lang w:val="hr-HR"/>
        </w:rPr>
        <w:t xml:space="preserve"> tužilački sistem </w:t>
      </w:r>
      <w:r w:rsidR="004D2256">
        <w:rPr>
          <w:lang w:val="hr-HR"/>
        </w:rPr>
        <w:t xml:space="preserve">kao </w:t>
      </w:r>
      <w:r>
        <w:rPr>
          <w:lang w:val="hr-HR"/>
        </w:rPr>
        <w:t>dio izvršne vlasti (najčešće ministarstva pravde) u okviru koje uživa visoke garancije samostalnosti u postupanju</w:t>
      </w:r>
      <w:r w:rsidR="004D2256">
        <w:rPr>
          <w:lang w:val="hr-HR"/>
        </w:rPr>
        <w:t>.</w:t>
      </w:r>
      <w:r>
        <w:rPr>
          <w:lang w:val="hr-HR"/>
        </w:rPr>
        <w:t xml:space="preserve"> </w:t>
      </w:r>
      <w:r w:rsidR="004D2256">
        <w:rPr>
          <w:lang w:val="hr-HR"/>
        </w:rPr>
        <w:t>Ona</w:t>
      </w:r>
      <w:r>
        <w:rPr>
          <w:lang w:val="hr-HR"/>
        </w:rPr>
        <w:t xml:space="preserve"> ipak ne dostiže garancije nezavisnosti </w:t>
      </w:r>
      <w:r w:rsidRPr="009C10B1">
        <w:rPr>
          <w:i/>
          <w:iCs/>
          <w:lang w:val="hr-HR"/>
        </w:rPr>
        <w:t>sudske</w:t>
      </w:r>
      <w:r>
        <w:rPr>
          <w:lang w:val="hr-HR"/>
        </w:rPr>
        <w:t xml:space="preserve"> vlasti u ovim zemljama. </w:t>
      </w:r>
      <w:r w:rsidR="001970F8">
        <w:rPr>
          <w:lang w:val="hr-HR"/>
        </w:rPr>
        <w:t xml:space="preserve">Preporuke međunarodnih strukovnih tužilačkih organizacija </w:t>
      </w:r>
      <w:r w:rsidR="00747F4A">
        <w:rPr>
          <w:lang w:val="hr-HR"/>
        </w:rPr>
        <w:t xml:space="preserve">teže ka </w:t>
      </w:r>
      <w:r w:rsidR="00080563">
        <w:rPr>
          <w:lang w:val="hr-HR"/>
        </w:rPr>
        <w:t>približavanju</w:t>
      </w:r>
      <w:r w:rsidR="00747F4A">
        <w:rPr>
          <w:lang w:val="hr-HR"/>
        </w:rPr>
        <w:t xml:space="preserve"> sudske i tužilačke funkcionalne nezavisnosti i </w:t>
      </w:r>
      <w:r w:rsidR="00080563">
        <w:rPr>
          <w:lang w:val="hr-HR"/>
        </w:rPr>
        <w:t>postepeno</w:t>
      </w:r>
      <w:r w:rsidR="00747F4A">
        <w:rPr>
          <w:lang w:val="hr-HR"/>
        </w:rPr>
        <w:t xml:space="preserve"> pronalaze razumijevanje drugi</w:t>
      </w:r>
      <w:r w:rsidR="005810A3">
        <w:rPr>
          <w:lang w:val="hr-HR"/>
        </w:rPr>
        <w:t>h</w:t>
      </w:r>
      <w:r w:rsidR="00747F4A">
        <w:rPr>
          <w:lang w:val="hr-HR"/>
        </w:rPr>
        <w:t xml:space="preserve"> grana vlasti. U preporuci Vijeća ministara Vijeća Evrope br. </w:t>
      </w:r>
      <w:r w:rsidR="005810A3">
        <w:rPr>
          <w:lang w:val="hr-HR"/>
        </w:rPr>
        <w:t>19/2000 od 6.10.20</w:t>
      </w:r>
      <w:r w:rsidR="0006747A">
        <w:rPr>
          <w:lang w:val="hr-HR"/>
        </w:rPr>
        <w:t>0</w:t>
      </w:r>
      <w:r w:rsidR="005810A3">
        <w:rPr>
          <w:lang w:val="hr-HR"/>
        </w:rPr>
        <w:t>0, čl. 11, navedeno je: „</w:t>
      </w:r>
      <w:r w:rsidR="005810A3" w:rsidRPr="005810A3">
        <w:rPr>
          <w:i/>
          <w:iCs/>
          <w:lang w:val="hr-HR"/>
        </w:rPr>
        <w:t>Države  članice će preduzeti adekvatne mjere kako bi obezbijedile javnim tužiocima da obavljaju svoje profesionalne dužnosti bez neopravdanog utjecaja ili neopravdane izloženosti krivičnoj, građanskoj i drugoj vrsti odgovornosti</w:t>
      </w:r>
      <w:r w:rsidR="005810A3">
        <w:rPr>
          <w:lang w:val="hr-HR"/>
        </w:rPr>
        <w:t>“</w:t>
      </w:r>
      <w:r w:rsidR="005810A3">
        <w:rPr>
          <w:rStyle w:val="Funotenzeichen"/>
          <w:lang w:val="hr-HR"/>
        </w:rPr>
        <w:footnoteReference w:id="3"/>
      </w:r>
      <w:r w:rsidR="005810A3">
        <w:rPr>
          <w:lang w:val="hr-HR"/>
        </w:rPr>
        <w:t>.</w:t>
      </w:r>
    </w:p>
    <w:p w:rsidR="00387723" w:rsidRDefault="006C720D" w:rsidP="004E0C98">
      <w:pPr>
        <w:spacing w:after="120"/>
        <w:ind w:right="-7"/>
        <w:jc w:val="both"/>
        <w:rPr>
          <w:lang w:val="hr-HR"/>
        </w:rPr>
      </w:pPr>
      <w:r>
        <w:rPr>
          <w:lang w:val="hr-HR"/>
        </w:rPr>
        <w:t>Pomenuta</w:t>
      </w:r>
      <w:r w:rsidR="00747F4A">
        <w:rPr>
          <w:lang w:val="hr-HR"/>
        </w:rPr>
        <w:t xml:space="preserve"> garancij</w:t>
      </w:r>
      <w:r>
        <w:rPr>
          <w:lang w:val="hr-HR"/>
        </w:rPr>
        <w:t>a</w:t>
      </w:r>
      <w:r w:rsidR="00747F4A">
        <w:rPr>
          <w:lang w:val="hr-HR"/>
        </w:rPr>
        <w:t xml:space="preserve"> sudijske funkcionalne nezavisnosti u etabiliranim pravosudnim sistemima je </w:t>
      </w:r>
      <w:r>
        <w:rPr>
          <w:lang w:val="hr-HR"/>
        </w:rPr>
        <w:t xml:space="preserve">u našem pravosudnom sistemu normativno </w:t>
      </w:r>
      <w:r w:rsidR="00747F4A">
        <w:rPr>
          <w:lang w:val="hr-HR"/>
        </w:rPr>
        <w:t xml:space="preserve">proširena i na tužilaštva. </w:t>
      </w:r>
      <w:r w:rsidR="001666E0">
        <w:rPr>
          <w:lang w:val="hr-HR"/>
        </w:rPr>
        <w:t>Sistemskim tumačenjem Zakona o V</w:t>
      </w:r>
      <w:r w:rsidR="00387723">
        <w:rPr>
          <w:lang w:val="hr-HR"/>
        </w:rPr>
        <w:t>isokom sudskom i tužilačkom vijeću BiH</w:t>
      </w:r>
      <w:r w:rsidR="00370F8E">
        <w:rPr>
          <w:rStyle w:val="Funotenzeichen"/>
          <w:lang w:val="hr-HR"/>
        </w:rPr>
        <w:footnoteReference w:id="4"/>
      </w:r>
      <w:r w:rsidR="001666E0">
        <w:rPr>
          <w:lang w:val="hr-HR"/>
        </w:rPr>
        <w:t xml:space="preserve"> može</w:t>
      </w:r>
      <w:r w:rsidR="00957C11">
        <w:rPr>
          <w:lang w:val="hr-HR"/>
        </w:rPr>
        <w:t xml:space="preserve"> se</w:t>
      </w:r>
      <w:r w:rsidR="001666E0">
        <w:rPr>
          <w:lang w:val="hr-HR"/>
        </w:rPr>
        <w:t xml:space="preserve"> zaključiti da je status sudija i tužilaca u našoj zemlji izjednačen, ako posmatramo uslove za obavljanje funkcije, način imenovanja i prestanka mandata. Ova jednakost ogleda se i u jednakom imunitetu za mišljenje i odluke donesene u okviru službenih dužnosti. </w:t>
      </w:r>
      <w:r w:rsidR="004E0C98">
        <w:rPr>
          <w:lang w:val="hr-HR"/>
        </w:rPr>
        <w:t xml:space="preserve">Bez </w:t>
      </w:r>
      <w:r w:rsidR="004E0C98">
        <w:rPr>
          <w:lang w:val="hr-HR"/>
        </w:rPr>
        <w:lastRenderedPageBreak/>
        <w:t xml:space="preserve">visokih garancija nezavisnosti bila bi dovedena u pitanje motivisanost za obavljanje pravosudne funkcije u zemlji </w:t>
      </w:r>
      <w:r w:rsidR="00CC13B4">
        <w:rPr>
          <w:lang w:val="hr-HR"/>
        </w:rPr>
        <w:t>u kojoj</w:t>
      </w:r>
      <w:r w:rsidR="004E0C98">
        <w:rPr>
          <w:lang w:val="hr-HR"/>
        </w:rPr>
        <w:t xml:space="preserve"> je masovnim i nekažnjenim zloupotrebama instituta krivične prijave ili podnošenjem tužbi u građanskom postupku</w:t>
      </w:r>
      <w:r w:rsidR="004E0C98">
        <w:rPr>
          <w:rStyle w:val="Funotenzeichen"/>
          <w:lang w:val="hr-HR"/>
        </w:rPr>
        <w:footnoteReference w:id="5"/>
      </w:r>
      <w:r w:rsidR="004E0C98">
        <w:rPr>
          <w:lang w:val="hr-HR"/>
        </w:rPr>
        <w:t xml:space="preserve"> moguće gotovo neograničeno šikanirati bilo koga</w:t>
      </w:r>
      <w:r w:rsidR="00CC13B4">
        <w:rPr>
          <w:lang w:val="hr-HR"/>
        </w:rPr>
        <w:t>.</w:t>
      </w:r>
      <w:r w:rsidR="004E0C98">
        <w:rPr>
          <w:lang w:val="hr-HR"/>
        </w:rPr>
        <w:t xml:space="preserve"> </w:t>
      </w:r>
      <w:r w:rsidR="00CC13B4">
        <w:rPr>
          <w:lang w:val="hr-HR"/>
        </w:rPr>
        <w:t>P</w:t>
      </w:r>
      <w:r w:rsidR="004E0C98">
        <w:rPr>
          <w:lang w:val="hr-HR"/>
        </w:rPr>
        <w:t xml:space="preserve">ri </w:t>
      </w:r>
      <w:r w:rsidR="00CC13B4">
        <w:rPr>
          <w:lang w:val="hr-HR"/>
        </w:rPr>
        <w:t>tome</w:t>
      </w:r>
      <w:r w:rsidR="004E0C98">
        <w:rPr>
          <w:lang w:val="hr-HR"/>
        </w:rPr>
        <w:t xml:space="preserve"> pravosudni sistem ne pruž</w:t>
      </w:r>
      <w:r w:rsidR="00CC13B4">
        <w:rPr>
          <w:lang w:val="hr-HR"/>
        </w:rPr>
        <w:t>a</w:t>
      </w:r>
      <w:r w:rsidR="004E0C98">
        <w:rPr>
          <w:lang w:val="hr-HR"/>
        </w:rPr>
        <w:t xml:space="preserve"> djelotvoran odgovor na rašireno kverulantsko ponašanje.</w:t>
      </w:r>
    </w:p>
    <w:p w:rsidR="004E0C98" w:rsidRDefault="004E0C98" w:rsidP="004E0C98">
      <w:pPr>
        <w:spacing w:after="120"/>
        <w:ind w:right="-7"/>
        <w:jc w:val="both"/>
        <w:rPr>
          <w:lang w:val="hr-HR"/>
        </w:rPr>
      </w:pPr>
      <w:r>
        <w:rPr>
          <w:lang w:val="hr-HR"/>
        </w:rPr>
        <w:t xml:space="preserve"> </w:t>
      </w:r>
    </w:p>
    <w:p w:rsidR="00387723" w:rsidRPr="00DD3C1F" w:rsidRDefault="00387723" w:rsidP="00DD3C1F">
      <w:pPr>
        <w:spacing w:after="120"/>
        <w:rPr>
          <w:b/>
          <w:bCs/>
          <w:lang w:val="hr-HR"/>
        </w:rPr>
      </w:pPr>
      <w:r>
        <w:rPr>
          <w:b/>
          <w:bCs/>
          <w:lang w:val="hr-HR"/>
        </w:rPr>
        <w:t>2</w:t>
      </w:r>
      <w:r w:rsidRPr="005F6E2B">
        <w:rPr>
          <w:b/>
          <w:bCs/>
          <w:lang w:val="hr-HR"/>
        </w:rPr>
        <w:t xml:space="preserve">. </w:t>
      </w:r>
      <w:r>
        <w:rPr>
          <w:b/>
          <w:bCs/>
          <w:lang w:val="hr-HR"/>
        </w:rPr>
        <w:t>Normativni okvir</w:t>
      </w:r>
    </w:p>
    <w:p w:rsidR="00F474EA" w:rsidRDefault="00F474EA" w:rsidP="00463004">
      <w:pPr>
        <w:spacing w:after="120"/>
        <w:ind w:right="-7"/>
        <w:jc w:val="both"/>
        <w:rPr>
          <w:lang w:val="hr-HR"/>
        </w:rPr>
      </w:pPr>
      <w:r>
        <w:rPr>
          <w:lang w:val="hr-HR"/>
        </w:rPr>
        <w:t>Imunitet sudija propisan je entitetskim ustavima: „</w:t>
      </w:r>
      <w:r w:rsidRPr="001440D0">
        <w:rPr>
          <w:i/>
          <w:iCs/>
          <w:lang w:val="hr-HR"/>
        </w:rPr>
        <w:t>Sudije sudova Federacije neće biti krivično gonjeni niti odgovorni u građanskom postupku za bilo koju radnju učinjenu u vršenju svoje funkcije</w:t>
      </w:r>
      <w:r>
        <w:rPr>
          <w:lang w:val="hr-HR"/>
        </w:rPr>
        <w:t>“</w:t>
      </w:r>
      <w:r w:rsidR="00387723">
        <w:rPr>
          <w:rStyle w:val="Funotenzeichen"/>
          <w:lang w:val="hr-HR"/>
        </w:rPr>
        <w:footnoteReference w:id="6"/>
      </w:r>
      <w:r w:rsidR="00463004">
        <w:rPr>
          <w:lang w:val="hr-HR"/>
        </w:rPr>
        <w:t>, odnosno „</w:t>
      </w:r>
      <w:r w:rsidR="00463004" w:rsidRPr="001440D0">
        <w:rPr>
          <w:i/>
          <w:iCs/>
          <w:lang w:val="hr-HR"/>
        </w:rPr>
        <w:t>Niko ko učestvuje u suđenju ne može biti pozvan na odgovornost u krivičnom ili građanskom postupku za mišljenje izraženo prilikom donošenja sudske odluke, a u postupku pokrenutom zbog krivičnog djela učinjenog u vršenju sudijske funkcije, ne može biti pritvoren bez odobrenja Visokog sudskog i tužilačkog savjeta</w:t>
      </w:r>
      <w:r w:rsidR="00463004">
        <w:rPr>
          <w:lang w:val="hr-HR"/>
        </w:rPr>
        <w:t>“</w:t>
      </w:r>
      <w:r w:rsidR="001440D0">
        <w:rPr>
          <w:rStyle w:val="Funotenzeichen"/>
          <w:lang w:val="hr-HR"/>
        </w:rPr>
        <w:footnoteReference w:id="7"/>
      </w:r>
      <w:r w:rsidR="00463004">
        <w:rPr>
          <w:lang w:val="hr-HR"/>
        </w:rPr>
        <w:t>.</w:t>
      </w:r>
    </w:p>
    <w:p w:rsidR="00ED11FE" w:rsidRDefault="004F5056" w:rsidP="002953EE">
      <w:pPr>
        <w:spacing w:after="120"/>
        <w:ind w:right="-7"/>
        <w:jc w:val="both"/>
        <w:rPr>
          <w:lang w:val="hr-HR"/>
        </w:rPr>
      </w:pPr>
      <w:r>
        <w:rPr>
          <w:lang w:val="hr-HR"/>
        </w:rPr>
        <w:t xml:space="preserve">Za razliku od </w:t>
      </w:r>
      <w:r w:rsidR="001704BB">
        <w:rPr>
          <w:lang w:val="hr-HR"/>
        </w:rPr>
        <w:t>zakona o sudovima</w:t>
      </w:r>
      <w:r>
        <w:rPr>
          <w:lang w:val="hr-HR"/>
        </w:rPr>
        <w:t xml:space="preserve">, </w:t>
      </w:r>
      <w:r w:rsidR="00370F8E">
        <w:rPr>
          <w:lang w:val="hr-HR"/>
        </w:rPr>
        <w:t xml:space="preserve">koji ne sadrže ovakve odredbe, </w:t>
      </w:r>
      <w:r>
        <w:rPr>
          <w:lang w:val="hr-HR"/>
        </w:rPr>
        <w:t xml:space="preserve">organizacionim zakonima tužilaštava </w:t>
      </w:r>
      <w:r w:rsidR="008F4A65">
        <w:rPr>
          <w:lang w:val="hr-HR"/>
        </w:rPr>
        <w:t xml:space="preserve">entiteta </w:t>
      </w:r>
      <w:r>
        <w:rPr>
          <w:lang w:val="hr-HR"/>
        </w:rPr>
        <w:t xml:space="preserve">propisano je da </w:t>
      </w:r>
      <w:r w:rsidR="008F4A65">
        <w:rPr>
          <w:lang w:val="hr-HR"/>
        </w:rPr>
        <w:t>entiteti mogu</w:t>
      </w:r>
      <w:r>
        <w:rPr>
          <w:lang w:val="hr-HR"/>
        </w:rPr>
        <w:t xml:space="preserve"> da </w:t>
      </w:r>
      <w:r w:rsidR="00370F8E">
        <w:rPr>
          <w:lang w:val="hr-HR"/>
        </w:rPr>
        <w:t xml:space="preserve">od tužilaca </w:t>
      </w:r>
      <w:r w:rsidR="00272655">
        <w:rPr>
          <w:lang w:val="hr-HR"/>
        </w:rPr>
        <w:t>traž</w:t>
      </w:r>
      <w:r w:rsidR="008F4A65">
        <w:rPr>
          <w:lang w:val="hr-HR"/>
        </w:rPr>
        <w:t xml:space="preserve">e </w:t>
      </w:r>
      <w:r w:rsidR="00272655">
        <w:rPr>
          <w:lang w:val="hr-HR"/>
        </w:rPr>
        <w:t>naknadu štete isplaćene zbog „</w:t>
      </w:r>
      <w:r w:rsidR="00272655" w:rsidRPr="00272655">
        <w:rPr>
          <w:i/>
          <w:iCs/>
          <w:lang w:val="hr-HR"/>
        </w:rPr>
        <w:t>nepravilnog i nezakonitog rada</w:t>
      </w:r>
      <w:r w:rsidR="00272655">
        <w:rPr>
          <w:lang w:val="hr-HR"/>
        </w:rPr>
        <w:t xml:space="preserve">“ </w:t>
      </w:r>
      <w:r w:rsidR="00413F6F">
        <w:rPr>
          <w:lang w:val="hr-HR"/>
        </w:rPr>
        <w:t xml:space="preserve">ukoliko je šteta </w:t>
      </w:r>
      <w:r w:rsidR="00E527C7">
        <w:rPr>
          <w:lang w:val="hr-HR"/>
        </w:rPr>
        <w:t>u</w:t>
      </w:r>
      <w:r w:rsidR="00413F6F">
        <w:rPr>
          <w:lang w:val="hr-HR"/>
        </w:rPr>
        <w:t xml:space="preserve">činjena </w:t>
      </w:r>
      <w:r w:rsidR="00E527C7">
        <w:rPr>
          <w:lang w:val="hr-HR"/>
        </w:rPr>
        <w:t>„</w:t>
      </w:r>
      <w:r w:rsidR="00E527C7" w:rsidRPr="00E527C7">
        <w:rPr>
          <w:i/>
          <w:iCs/>
          <w:lang w:val="hr-HR"/>
        </w:rPr>
        <w:t>namjerno ili iz krajnje nepažnje</w:t>
      </w:r>
      <w:r w:rsidR="00E527C7">
        <w:rPr>
          <w:lang w:val="hr-HR"/>
        </w:rPr>
        <w:t>“</w:t>
      </w:r>
      <w:r w:rsidR="00743176">
        <w:rPr>
          <w:rStyle w:val="Funotenzeichen"/>
          <w:lang w:val="hr-HR"/>
        </w:rPr>
        <w:footnoteReference w:id="8"/>
      </w:r>
      <w:r w:rsidR="008F4A65">
        <w:rPr>
          <w:lang w:val="hr-HR"/>
        </w:rPr>
        <w:t xml:space="preserve">, iako isti zakoni sadrže </w:t>
      </w:r>
      <w:r w:rsidR="001704BB">
        <w:rPr>
          <w:lang w:val="hr-HR"/>
        </w:rPr>
        <w:t>i odredbu kojom je propisano da „</w:t>
      </w:r>
      <w:r w:rsidR="001704BB" w:rsidRPr="001704BB">
        <w:rPr>
          <w:i/>
          <w:iCs/>
          <w:lang w:val="hr-HR"/>
        </w:rPr>
        <w:t>glavni tužioci, zamjenici glavnih tužilaca i tužioci ne mogu biti pozvani na krivičnu ni građanskopravnu odgovornost ni za jedno djelo učinjeno u vršenju službe</w:t>
      </w:r>
      <w:r w:rsidR="001704BB">
        <w:rPr>
          <w:lang w:val="hr-HR"/>
        </w:rPr>
        <w:t>“</w:t>
      </w:r>
      <w:r w:rsidR="001704BB">
        <w:rPr>
          <w:rStyle w:val="Funotenzeichen"/>
          <w:lang w:val="hr-HR"/>
        </w:rPr>
        <w:footnoteReference w:id="9"/>
      </w:r>
      <w:r w:rsidR="001704BB">
        <w:rPr>
          <w:lang w:val="hr-HR"/>
        </w:rPr>
        <w:t xml:space="preserve">. </w:t>
      </w:r>
      <w:r w:rsidR="00ED11FE">
        <w:rPr>
          <w:lang w:val="hr-HR"/>
        </w:rPr>
        <w:t>Ovakve zakonske odredbe su nai</w:t>
      </w:r>
      <w:r w:rsidR="00352947">
        <w:rPr>
          <w:lang w:val="hr-HR"/>
        </w:rPr>
        <w:t>z</w:t>
      </w:r>
      <w:r w:rsidR="00ED11FE">
        <w:rPr>
          <w:lang w:val="hr-HR"/>
        </w:rPr>
        <w:t xml:space="preserve">gled neusaglašene i u međusobnoj suprotnosti. </w:t>
      </w:r>
      <w:r w:rsidR="007F138A">
        <w:rPr>
          <w:lang w:val="hr-HR"/>
        </w:rPr>
        <w:t xml:space="preserve">Međutim, iako generalno ne podliježe građanskopravnoj odgovornosti, </w:t>
      </w:r>
      <w:r w:rsidR="0099549F">
        <w:rPr>
          <w:lang w:val="hr-HR"/>
        </w:rPr>
        <w:t xml:space="preserve">tužilac može </w:t>
      </w:r>
      <w:r w:rsidR="002953EE">
        <w:rPr>
          <w:lang w:val="hr-HR"/>
        </w:rPr>
        <w:t xml:space="preserve">izuzetno </w:t>
      </w:r>
      <w:r w:rsidR="0099549F">
        <w:rPr>
          <w:lang w:val="hr-HR"/>
        </w:rPr>
        <w:t xml:space="preserve">odgovarati zbog štete pričinjene </w:t>
      </w:r>
      <w:r w:rsidR="0099549F" w:rsidRPr="0099549F">
        <w:rPr>
          <w:i/>
          <w:iCs/>
          <w:lang w:val="hr-HR"/>
        </w:rPr>
        <w:t>nepravilnim i nezakonitim radom</w:t>
      </w:r>
      <w:r w:rsidR="0099549F">
        <w:rPr>
          <w:lang w:val="hr-HR"/>
        </w:rPr>
        <w:t>. Nepravilnosti i nezakonitosti bi se eventualno mogli utvrditi pravosnažnom su</w:t>
      </w:r>
      <w:r w:rsidR="00387723">
        <w:rPr>
          <w:lang w:val="hr-HR"/>
        </w:rPr>
        <w:t>d</w:t>
      </w:r>
      <w:r w:rsidR="006C720D">
        <w:rPr>
          <w:lang w:val="hr-HR"/>
        </w:rPr>
        <w:t>s</w:t>
      </w:r>
      <w:r w:rsidR="0099549F">
        <w:rPr>
          <w:lang w:val="hr-HR"/>
        </w:rPr>
        <w:t>kom odlukom</w:t>
      </w:r>
      <w:r w:rsidR="00387723">
        <w:rPr>
          <w:lang w:val="hr-HR"/>
        </w:rPr>
        <w:t xml:space="preserve"> ili odlukom Ustavnog suda BiH</w:t>
      </w:r>
      <w:r w:rsidR="0099549F">
        <w:rPr>
          <w:lang w:val="hr-HR"/>
        </w:rPr>
        <w:t xml:space="preserve">, konačnom odlukom disciplinskih komisija (s obzirom da se u disciplinskom postupku protiv tužilaca utvrđuju povrede dužnosti), ili aktom nadređenog tužilaštva, imajući u vidu da i Republičko tužilaštvo RS i Federalno </w:t>
      </w:r>
      <w:r w:rsidR="003D7EAC">
        <w:rPr>
          <w:lang w:val="hr-HR"/>
        </w:rPr>
        <w:t xml:space="preserve">tužilaštvo FBiH imaju prerogative da vrše nadzor </w:t>
      </w:r>
      <w:r w:rsidR="002953EE">
        <w:rPr>
          <w:lang w:val="hr-HR"/>
        </w:rPr>
        <w:t>„</w:t>
      </w:r>
      <w:r w:rsidR="002953EE" w:rsidRPr="002953EE">
        <w:rPr>
          <w:i/>
          <w:iCs/>
          <w:lang w:val="hr-HR"/>
        </w:rPr>
        <w:t>u cilju garantovanja zakonitosti i efikasnosti postupaka</w:t>
      </w:r>
      <w:r w:rsidR="002953EE">
        <w:rPr>
          <w:lang w:val="hr-HR"/>
        </w:rPr>
        <w:t>“</w:t>
      </w:r>
      <w:r w:rsidR="002953EE">
        <w:rPr>
          <w:rStyle w:val="Funotenzeichen"/>
          <w:lang w:val="hr-HR"/>
        </w:rPr>
        <w:footnoteReference w:id="10"/>
      </w:r>
      <w:r w:rsidR="002953EE">
        <w:rPr>
          <w:lang w:val="hr-HR"/>
        </w:rPr>
        <w:t>.</w:t>
      </w:r>
      <w:r w:rsidR="007F138A">
        <w:rPr>
          <w:lang w:val="hr-HR"/>
        </w:rPr>
        <w:t xml:space="preserve"> </w:t>
      </w:r>
      <w:r w:rsidR="002953EE">
        <w:rPr>
          <w:lang w:val="hr-HR"/>
        </w:rPr>
        <w:t>A</w:t>
      </w:r>
      <w:r w:rsidR="007F138A">
        <w:rPr>
          <w:lang w:val="hr-HR"/>
        </w:rPr>
        <w:t xml:space="preserve">utori nisu upoznati s konkretnom situacijom u kojoj je država tražila naknadu isplaćene štete od tužilaca. </w:t>
      </w:r>
    </w:p>
    <w:p w:rsidR="00AB3B9F" w:rsidRDefault="001704BB" w:rsidP="0099744E">
      <w:pPr>
        <w:spacing w:after="120"/>
        <w:ind w:right="-7"/>
        <w:jc w:val="both"/>
        <w:rPr>
          <w:lang w:val="hr-HR"/>
        </w:rPr>
      </w:pPr>
      <w:r>
        <w:rPr>
          <w:lang w:val="hr-HR"/>
        </w:rPr>
        <w:t>Zakonom o Tužilaštvu BiH</w:t>
      </w:r>
      <w:r>
        <w:rPr>
          <w:rStyle w:val="Funotenzeichen"/>
          <w:lang w:val="hr-HR"/>
        </w:rPr>
        <w:footnoteReference w:id="11"/>
      </w:r>
      <w:r w:rsidR="0099744E">
        <w:rPr>
          <w:lang w:val="hr-HR"/>
        </w:rPr>
        <w:t>, čl. 22 st. 2</w:t>
      </w:r>
      <w:r w:rsidR="004E0C98">
        <w:rPr>
          <w:lang w:val="hr-HR"/>
        </w:rPr>
        <w:t>,</w:t>
      </w:r>
      <w:r w:rsidR="0099744E">
        <w:rPr>
          <w:lang w:val="hr-HR"/>
        </w:rPr>
        <w:t xml:space="preserve"> predviđena je mogućnost da država traži „</w:t>
      </w:r>
      <w:r w:rsidR="0099744E" w:rsidRPr="0099744E">
        <w:rPr>
          <w:i/>
          <w:iCs/>
          <w:lang w:val="hr-HR"/>
        </w:rPr>
        <w:t xml:space="preserve">odštetu od strane službenika ako se procijeni da je službenik namjerno preduzeo radnje s ciljem da izazove štetu ili povredu, odnosno šteta ili povreda jeste posljedica nesavjesnog </w:t>
      </w:r>
      <w:r w:rsidR="0099744E" w:rsidRPr="0099744E">
        <w:rPr>
          <w:i/>
          <w:iCs/>
          <w:lang w:val="hr-HR"/>
        </w:rPr>
        <w:lastRenderedPageBreak/>
        <w:t>obavljanja poslova službenika</w:t>
      </w:r>
      <w:r w:rsidR="0099744E">
        <w:rPr>
          <w:lang w:val="hr-HR"/>
        </w:rPr>
        <w:t>“</w:t>
      </w:r>
      <w:r w:rsidR="0099744E" w:rsidRPr="0099744E">
        <w:rPr>
          <w:lang w:val="hr-HR"/>
        </w:rPr>
        <w:t>.</w:t>
      </w:r>
      <w:r w:rsidR="0099744E">
        <w:rPr>
          <w:lang w:val="hr-HR"/>
        </w:rPr>
        <w:t xml:space="preserve"> Ostaje nejasno da li je zakonodavac namjeravao da isključi tužioce Tužilaštva BiH od ovakve vrste odgovornosti </w:t>
      </w:r>
      <w:r w:rsidR="004E0C98">
        <w:rPr>
          <w:lang w:val="hr-HR"/>
        </w:rPr>
        <w:t xml:space="preserve">i izdvoji samo službenike ove institucije </w:t>
      </w:r>
      <w:r w:rsidR="0099744E">
        <w:rPr>
          <w:lang w:val="hr-HR"/>
        </w:rPr>
        <w:t>ili se pak radi o nespretno</w:t>
      </w:r>
      <w:r w:rsidR="000D0D0C">
        <w:rPr>
          <w:lang w:val="hr-HR"/>
        </w:rPr>
        <w:t>j</w:t>
      </w:r>
      <w:r w:rsidR="0099744E">
        <w:rPr>
          <w:lang w:val="hr-HR"/>
        </w:rPr>
        <w:t xml:space="preserve"> zakonsko</w:t>
      </w:r>
      <w:r w:rsidR="000D0D0C">
        <w:rPr>
          <w:lang w:val="hr-HR"/>
        </w:rPr>
        <w:t>j</w:t>
      </w:r>
      <w:r w:rsidR="0099744E">
        <w:rPr>
          <w:lang w:val="hr-HR"/>
        </w:rPr>
        <w:t xml:space="preserve"> </w:t>
      </w:r>
      <w:r w:rsidR="000D0D0C">
        <w:rPr>
          <w:lang w:val="hr-HR"/>
        </w:rPr>
        <w:t>formulaciji</w:t>
      </w:r>
      <w:r w:rsidR="0099744E">
        <w:rPr>
          <w:lang w:val="hr-HR"/>
        </w:rPr>
        <w:t xml:space="preserve">. </w:t>
      </w:r>
    </w:p>
    <w:p w:rsidR="0068422B" w:rsidRDefault="00387723" w:rsidP="003E7ADD">
      <w:pPr>
        <w:spacing w:after="120"/>
        <w:ind w:right="-7"/>
        <w:jc w:val="both"/>
        <w:rPr>
          <w:lang w:val="hr-HR"/>
        </w:rPr>
      </w:pPr>
      <w:r>
        <w:rPr>
          <w:lang w:val="hr-HR"/>
        </w:rPr>
        <w:t xml:space="preserve">Nakon što je </w:t>
      </w:r>
      <w:r w:rsidR="000D0D0C">
        <w:rPr>
          <w:lang w:val="hr-HR"/>
        </w:rPr>
        <w:t>uspostavljeno</w:t>
      </w:r>
      <w:r>
        <w:rPr>
          <w:lang w:val="hr-HR"/>
        </w:rPr>
        <w:t>VSTV, č</w:t>
      </w:r>
      <w:r w:rsidR="00E527C7">
        <w:rPr>
          <w:lang w:val="hr-HR"/>
        </w:rPr>
        <w:t>l</w:t>
      </w:r>
      <w:r w:rsidR="00341FFE">
        <w:rPr>
          <w:lang w:val="hr-HR"/>
        </w:rPr>
        <w:t>.</w:t>
      </w:r>
      <w:r w:rsidR="00023BCF">
        <w:rPr>
          <w:lang w:val="hr-HR"/>
        </w:rPr>
        <w:t xml:space="preserve"> 87 st</w:t>
      </w:r>
      <w:r w:rsidR="00341FFE">
        <w:rPr>
          <w:lang w:val="hr-HR"/>
        </w:rPr>
        <w:t>.</w:t>
      </w:r>
      <w:r w:rsidR="00023BCF">
        <w:rPr>
          <w:lang w:val="hr-HR"/>
        </w:rPr>
        <w:t xml:space="preserve"> 1 </w:t>
      </w:r>
      <w:r w:rsidR="00341FFE">
        <w:rPr>
          <w:lang w:val="hr-HR"/>
        </w:rPr>
        <w:t>Zakona o VSTV-</w:t>
      </w:r>
      <w:r w:rsidR="001440D0">
        <w:rPr>
          <w:lang w:val="hr-HR"/>
        </w:rPr>
        <w:t xml:space="preserve">u, </w:t>
      </w:r>
      <w:r w:rsidR="00067BE0">
        <w:rPr>
          <w:lang w:val="hr-HR"/>
        </w:rPr>
        <w:t>proširene</w:t>
      </w:r>
      <w:r w:rsidR="009529F3">
        <w:rPr>
          <w:lang w:val="hr-HR"/>
        </w:rPr>
        <w:t xml:space="preserve"> su ustavne garancije nezavisnosti </w:t>
      </w:r>
      <w:r w:rsidR="004E0C98">
        <w:rPr>
          <w:lang w:val="hr-HR"/>
        </w:rPr>
        <w:t xml:space="preserve">sudija </w:t>
      </w:r>
      <w:r w:rsidR="009529F3">
        <w:rPr>
          <w:lang w:val="hr-HR"/>
        </w:rPr>
        <w:t>i na tužioce</w:t>
      </w:r>
      <w:r w:rsidR="00B23F64">
        <w:rPr>
          <w:lang w:val="hr-HR"/>
        </w:rPr>
        <w:t xml:space="preserve"> i postale zakonska kategorija</w:t>
      </w:r>
      <w:r w:rsidR="001440D0">
        <w:rPr>
          <w:lang w:val="hr-HR"/>
        </w:rPr>
        <w:t>:</w:t>
      </w:r>
      <w:r w:rsidR="00341FFE">
        <w:rPr>
          <w:lang w:val="hr-HR"/>
        </w:rPr>
        <w:t xml:space="preserve"> „</w:t>
      </w:r>
      <w:r w:rsidR="00D41828" w:rsidRPr="00D41828">
        <w:rPr>
          <w:i/>
          <w:iCs/>
          <w:lang w:val="hr-HR"/>
        </w:rPr>
        <w:t>Sudija ili tužilac ne može biti krivično gonjen, uhapšen ili zadržan u pritvoru niti može odgovarati u građanskom  postupku za mišljenja koja daje ili za odluke koje donese u okviru svojih službenih dužnosti</w:t>
      </w:r>
      <w:r w:rsidR="00D41828">
        <w:rPr>
          <w:lang w:val="hr-HR"/>
        </w:rPr>
        <w:t>“.</w:t>
      </w:r>
      <w:r w:rsidR="003E7ADD">
        <w:rPr>
          <w:lang w:val="hr-HR"/>
        </w:rPr>
        <w:t xml:space="preserve"> U dopisu koje je uputilo stranci koja se obraćala VSTV-u, br. </w:t>
      </w:r>
      <w:r w:rsidR="003E7ADD" w:rsidRPr="003E7ADD">
        <w:rPr>
          <w:lang w:val="hr-HR"/>
        </w:rPr>
        <w:t>08-50-728-4/2014 od 18.</w:t>
      </w:r>
      <w:r w:rsidR="00A92D43">
        <w:rPr>
          <w:lang w:val="hr-HR"/>
        </w:rPr>
        <w:t xml:space="preserve"> </w:t>
      </w:r>
      <w:r w:rsidR="003E7ADD" w:rsidRPr="003E7ADD">
        <w:rPr>
          <w:lang w:val="hr-HR"/>
        </w:rPr>
        <w:t>07.</w:t>
      </w:r>
      <w:r w:rsidR="00A92D43">
        <w:rPr>
          <w:lang w:val="hr-HR"/>
        </w:rPr>
        <w:t xml:space="preserve"> </w:t>
      </w:r>
      <w:r w:rsidR="003E7ADD" w:rsidRPr="003E7ADD">
        <w:rPr>
          <w:lang w:val="hr-HR"/>
        </w:rPr>
        <w:t>2014</w:t>
      </w:r>
      <w:r w:rsidR="003E7ADD">
        <w:rPr>
          <w:lang w:val="hr-HR"/>
        </w:rPr>
        <w:t xml:space="preserve">, VSTV je dalo vlastito </w:t>
      </w:r>
      <w:r w:rsidR="00067BE0">
        <w:rPr>
          <w:lang w:val="hr-HR"/>
        </w:rPr>
        <w:t>(</w:t>
      </w:r>
      <w:r w:rsidR="003E7ADD">
        <w:rPr>
          <w:lang w:val="hr-HR"/>
        </w:rPr>
        <w:t>ekstenzivno</w:t>
      </w:r>
      <w:r w:rsidR="00067BE0">
        <w:rPr>
          <w:lang w:val="hr-HR"/>
        </w:rPr>
        <w:t>)</w:t>
      </w:r>
      <w:r w:rsidR="003E7ADD">
        <w:rPr>
          <w:lang w:val="hr-HR"/>
        </w:rPr>
        <w:t xml:space="preserve"> tumačenje ove zakonske odredbe:</w:t>
      </w:r>
      <w:r w:rsidR="003E7ADD" w:rsidRPr="003E7ADD">
        <w:rPr>
          <w:lang w:val="hr-HR"/>
        </w:rPr>
        <w:t xml:space="preserve"> “</w:t>
      </w:r>
      <w:r w:rsidR="003E7ADD" w:rsidRPr="003E7ADD">
        <w:rPr>
          <w:i/>
          <w:iCs/>
          <w:lang w:val="hr-HR"/>
        </w:rPr>
        <w:t>Član 87. Zakona o Vijeću propisuje funkcionalni imunitet nosilaca pravosudnih funkcija u krivičnom i parničnom postupku i to u odnosu na mišljenje koje daju ili odluke koju donese u okviru svoje službene dužnosti, a što predstavlja jednu od garancija njihove nezavisnosti. Dakle, zakonodavac je dao imunitet svim nosiocima pravosudnih funkcija u svakom predmetu u kojem postupaju, bez bilo kakve mogućnosti da Vijeće ili Ured disciplinskog tužioca, odlukom, odobrenjem ili stavom utiču na primjenu ovog instituta u praksi.</w:t>
      </w:r>
      <w:r w:rsidR="003E7ADD" w:rsidRPr="003E7ADD">
        <w:rPr>
          <w:lang w:val="hr-HR"/>
        </w:rPr>
        <w:t>“</w:t>
      </w:r>
    </w:p>
    <w:p w:rsidR="00640001" w:rsidRDefault="003C1C44" w:rsidP="00F83DFF">
      <w:pPr>
        <w:spacing w:after="120"/>
        <w:ind w:right="-7"/>
        <w:jc w:val="both"/>
        <w:rPr>
          <w:noProof/>
          <w:lang w:val="bs-Latn-BA"/>
        </w:rPr>
      </w:pPr>
      <w:r>
        <w:rPr>
          <w:lang w:val="hr-HR"/>
        </w:rPr>
        <w:t>Ograničenja imuniteta propisana su narednim stavom istog člana zakona: „</w:t>
      </w:r>
      <w:r w:rsidRPr="00640001">
        <w:rPr>
          <w:i/>
          <w:iCs/>
          <w:noProof/>
          <w:lang w:val="bs-Latn-BA"/>
        </w:rPr>
        <w:t>Posjedovanje imuniteta neće spriječiti ili odgoditi istragu u krivičnom ili građanskom postupku koja se o nekoj stvari u skladu sa zakonom vodi protiv sudije ili tužioca</w:t>
      </w:r>
      <w:r>
        <w:rPr>
          <w:noProof/>
          <w:lang w:val="bs-Latn-BA"/>
        </w:rPr>
        <w:t>“.</w:t>
      </w:r>
      <w:r w:rsidR="00640001">
        <w:rPr>
          <w:noProof/>
          <w:lang w:val="bs-Latn-BA"/>
        </w:rPr>
        <w:t xml:space="preserve"> Drugim riječima, generalni imunitet</w:t>
      </w:r>
      <w:r w:rsidR="00217EF3">
        <w:rPr>
          <w:noProof/>
          <w:lang w:val="bs-Latn-BA"/>
        </w:rPr>
        <w:t>, koji je brana pokušajima vršenja pritiska na sudije i tužioce zloupotrebom pravosudnih procesa,</w:t>
      </w:r>
      <w:r w:rsidR="00640001">
        <w:rPr>
          <w:noProof/>
          <w:lang w:val="bs-Latn-BA"/>
        </w:rPr>
        <w:t xml:space="preserve"> neće spriječiti proces utvrđivanja odgovornosti propisan posebnim zakonima. Krivičnim zakon</w:t>
      </w:r>
      <w:r w:rsidR="00DB521F">
        <w:rPr>
          <w:noProof/>
          <w:lang w:val="bs-Latn-BA"/>
        </w:rPr>
        <w:t>ima</w:t>
      </w:r>
      <w:r w:rsidR="00640001">
        <w:rPr>
          <w:noProof/>
          <w:lang w:val="bs-Latn-BA"/>
        </w:rPr>
        <w:t xml:space="preserve"> </w:t>
      </w:r>
      <w:r w:rsidR="002F76D1">
        <w:rPr>
          <w:noProof/>
          <w:lang w:val="bs-Latn-BA"/>
        </w:rPr>
        <w:t xml:space="preserve">u našoj zemlji </w:t>
      </w:r>
      <w:r w:rsidR="00217EF3">
        <w:rPr>
          <w:noProof/>
          <w:lang w:val="bs-Latn-BA"/>
        </w:rPr>
        <w:t>propisana su posebna krivična djela koja prema njihovim zakonskim obilježjima mogu počiniti samo sudije i tužioci</w:t>
      </w:r>
      <w:r w:rsidR="002C4E22">
        <w:rPr>
          <w:rStyle w:val="Funotenzeichen"/>
          <w:noProof/>
          <w:lang w:val="bs-Latn-BA"/>
        </w:rPr>
        <w:footnoteReference w:id="12"/>
      </w:r>
      <w:r w:rsidR="00217EF3">
        <w:rPr>
          <w:noProof/>
          <w:lang w:val="bs-Latn-BA"/>
        </w:rPr>
        <w:t xml:space="preserve">, </w:t>
      </w:r>
      <w:r w:rsidR="00DB521F">
        <w:rPr>
          <w:noProof/>
          <w:lang w:val="bs-Latn-BA"/>
        </w:rPr>
        <w:t xml:space="preserve">obavljajući svoju službenu dužnost. </w:t>
      </w:r>
      <w:r w:rsidR="002F76D1">
        <w:rPr>
          <w:noProof/>
          <w:lang w:val="bs-Latn-BA"/>
        </w:rPr>
        <w:t xml:space="preserve">Zajedničko svim propisanim krivičnim djelima, prema njihovim zakonskim obilježjima, je da </w:t>
      </w:r>
      <w:r w:rsidR="005506BF">
        <w:rPr>
          <w:noProof/>
          <w:lang w:val="bs-Latn-BA"/>
        </w:rPr>
        <w:t xml:space="preserve">se </w:t>
      </w:r>
      <w:r w:rsidR="00067BE0" w:rsidRPr="00067BE0">
        <w:rPr>
          <w:i/>
          <w:iCs/>
          <w:noProof/>
          <w:lang w:val="bs-Latn-BA"/>
        </w:rPr>
        <w:t>de facto</w:t>
      </w:r>
      <w:r w:rsidR="005506BF">
        <w:rPr>
          <w:noProof/>
          <w:lang w:val="bs-Latn-BA"/>
        </w:rPr>
        <w:t xml:space="preserve"> radi o posebnoj vrsti zloupotrebe položaja koju mogu počiniti samo sudije i tužioci, </w:t>
      </w:r>
      <w:r w:rsidR="00F83DFF" w:rsidRPr="00F83DFF">
        <w:rPr>
          <w:noProof/>
          <w:lang w:val="bs-Latn-BA"/>
        </w:rPr>
        <w:t>u namjeri da pribavi sebi ili drugom korist ili da drugom nanese štetu</w:t>
      </w:r>
      <w:r w:rsidR="00F83DFF">
        <w:rPr>
          <w:noProof/>
          <w:lang w:val="bs-Latn-BA"/>
        </w:rPr>
        <w:t xml:space="preserve">. Prag dokazivanja je izrazito visok, jer je potrebno dokazati </w:t>
      </w:r>
      <w:r w:rsidR="00F07B69">
        <w:rPr>
          <w:noProof/>
          <w:lang w:val="bs-Latn-BA"/>
        </w:rPr>
        <w:t xml:space="preserve">umišljajno postupanje čiji je cilj </w:t>
      </w:r>
      <w:r w:rsidR="00825199">
        <w:rPr>
          <w:noProof/>
          <w:lang w:val="bs-Latn-BA"/>
        </w:rPr>
        <w:t xml:space="preserve">pribavljanje koristi/nanošenje štete, pri čemu treba jasno razlikovati zloupotrebu od svakodnevne greške počinjene u dobroj vjeri a koja može nastati pogrešnom interpretacijom činjenica ili primjenom propisa u pravosudnim postupcima. </w:t>
      </w:r>
      <w:r w:rsidR="002C56FD" w:rsidRPr="00067BE0">
        <w:rPr>
          <w:noProof/>
          <w:lang w:val="bs-Latn-BA"/>
        </w:rPr>
        <w:t xml:space="preserve">No, ovaj prag nije i </w:t>
      </w:r>
      <w:r w:rsidR="0006747A">
        <w:rPr>
          <w:noProof/>
          <w:lang w:val="bs-Latn-BA"/>
        </w:rPr>
        <w:t>nedostižan.</w:t>
      </w:r>
    </w:p>
    <w:p w:rsidR="00067BE0" w:rsidRDefault="00067BE0" w:rsidP="00A92D43">
      <w:pPr>
        <w:spacing w:after="120"/>
        <w:rPr>
          <w:b/>
          <w:bCs/>
          <w:lang w:val="hr-HR"/>
        </w:rPr>
      </w:pPr>
    </w:p>
    <w:p w:rsidR="00067BE0" w:rsidRPr="005F6E2B" w:rsidRDefault="0043179B" w:rsidP="00A92D43">
      <w:pPr>
        <w:spacing w:after="120"/>
        <w:rPr>
          <w:b/>
          <w:bCs/>
          <w:lang w:val="hr-HR"/>
        </w:rPr>
      </w:pPr>
      <w:r>
        <w:rPr>
          <w:b/>
          <w:bCs/>
          <w:lang w:val="hr-HR"/>
        </w:rPr>
        <w:t>3</w:t>
      </w:r>
      <w:r w:rsidR="00067BE0" w:rsidRPr="005F6E2B">
        <w:rPr>
          <w:b/>
          <w:bCs/>
          <w:lang w:val="hr-HR"/>
        </w:rPr>
        <w:t xml:space="preserve">. </w:t>
      </w:r>
      <w:r w:rsidR="00067BE0">
        <w:rPr>
          <w:b/>
          <w:bCs/>
          <w:lang w:val="hr-HR"/>
        </w:rPr>
        <w:t>Funkcionalni imunitet sudija – disciplinska praksa</w:t>
      </w:r>
    </w:p>
    <w:p w:rsidR="005609F1" w:rsidRDefault="00E12D92" w:rsidP="00A92D43">
      <w:pPr>
        <w:spacing w:after="120"/>
        <w:ind w:right="-7"/>
        <w:jc w:val="both"/>
        <w:rPr>
          <w:lang w:val="hr-HR"/>
        </w:rPr>
      </w:pPr>
      <w:r>
        <w:rPr>
          <w:lang w:val="hr-HR"/>
        </w:rPr>
        <w:t>Jedan od takvih izuzetaka od pravila</w:t>
      </w:r>
      <w:r w:rsidR="00067BE0">
        <w:rPr>
          <w:lang w:val="hr-HR"/>
        </w:rPr>
        <w:t xml:space="preserve"> takođe</w:t>
      </w:r>
      <w:r>
        <w:rPr>
          <w:lang w:val="hr-HR"/>
        </w:rPr>
        <w:t xml:space="preserve"> je i d</w:t>
      </w:r>
      <w:r w:rsidR="005609F1">
        <w:rPr>
          <w:lang w:val="hr-HR"/>
        </w:rPr>
        <w:t xml:space="preserve">isciplinski prekršaj </w:t>
      </w:r>
      <w:r>
        <w:rPr>
          <w:lang w:val="hr-HR"/>
        </w:rPr>
        <w:t xml:space="preserve">sudija </w:t>
      </w:r>
      <w:r w:rsidR="005609F1">
        <w:rPr>
          <w:lang w:val="hr-HR"/>
        </w:rPr>
        <w:t xml:space="preserve">propisan čl. 56 tačka </w:t>
      </w:r>
      <w:r w:rsidR="008B62FF">
        <w:rPr>
          <w:lang w:val="hr-HR"/>
        </w:rPr>
        <w:t xml:space="preserve">10 Zakona o VSTV-u: </w:t>
      </w:r>
      <w:bookmarkStart w:id="6" w:name="_Hlk113721591"/>
      <w:r w:rsidR="008B62FF">
        <w:rPr>
          <w:lang w:val="hr-HR"/>
        </w:rPr>
        <w:t>„</w:t>
      </w:r>
      <w:r w:rsidR="008B62FF" w:rsidRPr="008B62FF">
        <w:rPr>
          <w:i/>
          <w:iCs/>
          <w:lang w:val="hr-HR"/>
        </w:rPr>
        <w:t>donošenje odluka kojim se očigledno krši zakon ili uporno i neopravdano kršenje pravila postupka</w:t>
      </w:r>
      <w:r w:rsidR="008B62FF">
        <w:rPr>
          <w:lang w:val="hr-HR"/>
        </w:rPr>
        <w:t>“</w:t>
      </w:r>
      <w:bookmarkEnd w:id="6"/>
      <w:r>
        <w:rPr>
          <w:lang w:val="hr-HR"/>
        </w:rPr>
        <w:t>.</w:t>
      </w:r>
      <w:r w:rsidR="008B62FF">
        <w:rPr>
          <w:lang w:val="hr-HR"/>
        </w:rPr>
        <w:t xml:space="preserve"> </w:t>
      </w:r>
    </w:p>
    <w:p w:rsidR="003E7ADD" w:rsidRDefault="00B227BA" w:rsidP="00B227BA">
      <w:pPr>
        <w:spacing w:after="120"/>
        <w:ind w:right="-7"/>
        <w:jc w:val="both"/>
        <w:rPr>
          <w:lang w:val="hr-HR"/>
        </w:rPr>
      </w:pPr>
      <w:r w:rsidRPr="00B227BA">
        <w:rPr>
          <w:lang w:val="hr-HR"/>
        </w:rPr>
        <w:t xml:space="preserve">U Mišljenju o nacrtu Zakona o </w:t>
      </w:r>
      <w:r w:rsidR="00083E9F">
        <w:rPr>
          <w:lang w:val="hr-HR"/>
        </w:rPr>
        <w:t>VSTV-u</w:t>
      </w:r>
      <w:r w:rsidRPr="00B227BA">
        <w:rPr>
          <w:lang w:val="hr-HR"/>
        </w:rPr>
        <w:t>, broj 712/2013 od 24.</w:t>
      </w:r>
      <w:r w:rsidR="00B3635F">
        <w:rPr>
          <w:lang w:val="hr-HR"/>
        </w:rPr>
        <w:t xml:space="preserve"> 0</w:t>
      </w:r>
      <w:r w:rsidRPr="00B227BA">
        <w:rPr>
          <w:lang w:val="hr-HR"/>
        </w:rPr>
        <w:t>3.</w:t>
      </w:r>
      <w:r w:rsidR="00B3635F">
        <w:rPr>
          <w:lang w:val="hr-HR"/>
        </w:rPr>
        <w:t xml:space="preserve"> </w:t>
      </w:r>
      <w:r w:rsidRPr="00B227BA">
        <w:rPr>
          <w:lang w:val="hr-HR"/>
        </w:rPr>
        <w:t>2014, Venecijanska komisija dala je osvrt na</w:t>
      </w:r>
      <w:r>
        <w:rPr>
          <w:lang w:val="hr-HR"/>
        </w:rPr>
        <w:t xml:space="preserve"> </w:t>
      </w:r>
      <w:r w:rsidR="004C7FBF">
        <w:rPr>
          <w:lang w:val="hr-HR"/>
        </w:rPr>
        <w:t xml:space="preserve">ovaj </w:t>
      </w:r>
      <w:r w:rsidRPr="00B227BA">
        <w:rPr>
          <w:lang w:val="hr-HR"/>
        </w:rPr>
        <w:t>prekršaj, naglašavajući da</w:t>
      </w:r>
      <w:r w:rsidR="003E7ADD">
        <w:rPr>
          <w:lang w:val="hr-HR"/>
        </w:rPr>
        <w:t xml:space="preserve"> </w:t>
      </w:r>
      <w:r w:rsidR="00B3635F">
        <w:rPr>
          <w:lang w:val="hr-HR"/>
        </w:rPr>
        <w:t>ga</w:t>
      </w:r>
      <w:r w:rsidRPr="00B227BA">
        <w:rPr>
          <w:lang w:val="hr-HR"/>
        </w:rPr>
        <w:t xml:space="preserve"> treba revidirati tako da se odnosi na presude donesene u lošoj vjeri ili kao</w:t>
      </w:r>
      <w:r w:rsidR="003E7ADD">
        <w:rPr>
          <w:lang w:val="hr-HR"/>
        </w:rPr>
        <w:t xml:space="preserve"> </w:t>
      </w:r>
      <w:r w:rsidRPr="00B227BA">
        <w:rPr>
          <w:lang w:val="hr-HR"/>
        </w:rPr>
        <w:t>rezultat ponovljenog nemara: “</w:t>
      </w:r>
      <w:r w:rsidRPr="00806C30">
        <w:rPr>
          <w:i/>
          <w:iCs/>
          <w:lang w:val="hr-HR"/>
        </w:rPr>
        <w:t>Najbolje je u svim ostalim slučajevima ograničiti takva pitanja</w:t>
      </w:r>
      <w:r w:rsidR="003E7ADD" w:rsidRPr="00806C30">
        <w:rPr>
          <w:i/>
          <w:iCs/>
          <w:lang w:val="hr-HR"/>
        </w:rPr>
        <w:t xml:space="preserve"> </w:t>
      </w:r>
      <w:r w:rsidRPr="00806C30">
        <w:rPr>
          <w:i/>
          <w:iCs/>
          <w:lang w:val="hr-HR"/>
        </w:rPr>
        <w:t>na žalbeni postupak. Sudije moraju imati slobodu u interpretaciji zakona. Prema tome,</w:t>
      </w:r>
      <w:r w:rsidR="003E7ADD" w:rsidRPr="00806C30">
        <w:rPr>
          <w:i/>
          <w:iCs/>
          <w:lang w:val="hr-HR"/>
        </w:rPr>
        <w:t xml:space="preserve"> </w:t>
      </w:r>
      <w:r w:rsidRPr="00806C30">
        <w:rPr>
          <w:i/>
          <w:iCs/>
          <w:lang w:val="hr-HR"/>
        </w:rPr>
        <w:t xml:space="preserve">presuda ukinuta u žalbenom postupku ne </w:t>
      </w:r>
      <w:r w:rsidRPr="00806C30">
        <w:rPr>
          <w:i/>
          <w:iCs/>
          <w:lang w:val="hr-HR"/>
        </w:rPr>
        <w:lastRenderedPageBreak/>
        <w:t>može dovesti do disciplinskih mjera protiv sudije</w:t>
      </w:r>
      <w:r w:rsidR="003E7ADD" w:rsidRPr="00806C30">
        <w:rPr>
          <w:i/>
          <w:iCs/>
          <w:lang w:val="hr-HR"/>
        </w:rPr>
        <w:t xml:space="preserve"> </w:t>
      </w:r>
      <w:r w:rsidRPr="00806C30">
        <w:rPr>
          <w:i/>
          <w:iCs/>
          <w:lang w:val="hr-HR"/>
        </w:rPr>
        <w:t>suda nižeg stepena</w:t>
      </w:r>
      <w:r w:rsidRPr="00B227BA">
        <w:rPr>
          <w:lang w:val="hr-HR"/>
        </w:rPr>
        <w:t>.”</w:t>
      </w:r>
      <w:r w:rsidR="00806C30">
        <w:rPr>
          <w:lang w:val="hr-HR"/>
        </w:rPr>
        <w:t xml:space="preserve"> </w:t>
      </w:r>
      <w:r w:rsidR="00083E9F">
        <w:rPr>
          <w:lang w:val="hr-HR"/>
        </w:rPr>
        <w:t>Vjerovatno je ovo mišljenje Venecijanske komisije uzeto u obzir prilikom izrade izmjena i dopuna Zakona o VSTV-u, koji  je odbijen u parlamentarnoj proceduri ove godine</w:t>
      </w:r>
      <w:r w:rsidR="00D833FC">
        <w:rPr>
          <w:lang w:val="hr-HR"/>
        </w:rPr>
        <w:t>.</w:t>
      </w:r>
      <w:r w:rsidR="00083E9F">
        <w:rPr>
          <w:rStyle w:val="Funotenzeichen"/>
          <w:lang w:val="hr-HR"/>
        </w:rPr>
        <w:footnoteReference w:id="13"/>
      </w:r>
      <w:r w:rsidR="00D833FC">
        <w:rPr>
          <w:lang w:val="hr-HR"/>
        </w:rPr>
        <w:t xml:space="preserve"> Njime</w:t>
      </w:r>
      <w:r w:rsidR="00681163">
        <w:rPr>
          <w:lang w:val="hr-HR"/>
        </w:rPr>
        <w:t xml:space="preserve"> je </w:t>
      </w:r>
      <w:r w:rsidR="00994C2A">
        <w:rPr>
          <w:lang w:val="hr-HR"/>
        </w:rPr>
        <w:t>u potpunosti</w:t>
      </w:r>
      <w:r w:rsidR="00681163">
        <w:rPr>
          <w:lang w:val="hr-HR"/>
        </w:rPr>
        <w:t xml:space="preserve"> revidiran katalog disciplinskih prekršaja za sudije i tužioce, među kojima se nije našao i pomenuti disciplinski prekršaj. No, </w:t>
      </w:r>
      <w:r w:rsidR="00D833FC">
        <w:rPr>
          <w:lang w:val="hr-HR"/>
        </w:rPr>
        <w:t xml:space="preserve">ovdje nije </w:t>
      </w:r>
      <w:r w:rsidR="00681163">
        <w:rPr>
          <w:lang w:val="hr-HR"/>
        </w:rPr>
        <w:t xml:space="preserve">cilj </w:t>
      </w:r>
      <w:r w:rsidR="00D833FC">
        <w:rPr>
          <w:lang w:val="hr-HR"/>
        </w:rPr>
        <w:t xml:space="preserve">da se </w:t>
      </w:r>
      <w:r w:rsidR="00681163">
        <w:rPr>
          <w:lang w:val="hr-HR"/>
        </w:rPr>
        <w:t>razmatr</w:t>
      </w:r>
      <w:r w:rsidR="00D833FC">
        <w:rPr>
          <w:lang w:val="hr-HR"/>
        </w:rPr>
        <w:t>e</w:t>
      </w:r>
      <w:r w:rsidR="00681163">
        <w:rPr>
          <w:lang w:val="hr-HR"/>
        </w:rPr>
        <w:t xml:space="preserve"> </w:t>
      </w:r>
      <w:r w:rsidR="002C4E22">
        <w:rPr>
          <w:lang w:val="hr-HR"/>
        </w:rPr>
        <w:t>neuspješni i</w:t>
      </w:r>
      <w:r w:rsidR="004C7FBF">
        <w:rPr>
          <w:lang w:val="hr-HR"/>
        </w:rPr>
        <w:t>/ili</w:t>
      </w:r>
      <w:r w:rsidR="002C4E22">
        <w:rPr>
          <w:lang w:val="hr-HR"/>
        </w:rPr>
        <w:t xml:space="preserve"> eventualn</w:t>
      </w:r>
      <w:r w:rsidR="00D833FC">
        <w:rPr>
          <w:lang w:val="hr-HR"/>
        </w:rPr>
        <w:t>e</w:t>
      </w:r>
      <w:r w:rsidR="002C4E22">
        <w:rPr>
          <w:lang w:val="hr-HR"/>
        </w:rPr>
        <w:t xml:space="preserve"> buduć</w:t>
      </w:r>
      <w:r w:rsidR="00D833FC">
        <w:rPr>
          <w:lang w:val="hr-HR"/>
        </w:rPr>
        <w:t>e</w:t>
      </w:r>
      <w:r w:rsidR="002C4E22">
        <w:rPr>
          <w:lang w:val="hr-HR"/>
        </w:rPr>
        <w:t xml:space="preserve"> zakonodavn</w:t>
      </w:r>
      <w:r w:rsidR="00D833FC">
        <w:rPr>
          <w:lang w:val="hr-HR"/>
        </w:rPr>
        <w:t>e</w:t>
      </w:r>
      <w:r w:rsidR="002C4E22">
        <w:rPr>
          <w:lang w:val="hr-HR"/>
        </w:rPr>
        <w:t xml:space="preserve"> intervencij</w:t>
      </w:r>
      <w:r w:rsidR="00D833FC">
        <w:rPr>
          <w:lang w:val="hr-HR"/>
        </w:rPr>
        <w:t>e</w:t>
      </w:r>
      <w:r w:rsidR="002C4E22">
        <w:rPr>
          <w:lang w:val="hr-HR"/>
        </w:rPr>
        <w:t>, nego primjena aktuelnih propisa.</w:t>
      </w:r>
    </w:p>
    <w:p w:rsidR="00801D9F" w:rsidRDefault="003E2DF4" w:rsidP="00E17703">
      <w:pPr>
        <w:spacing w:after="120"/>
        <w:ind w:right="-7"/>
        <w:jc w:val="both"/>
        <w:rPr>
          <w:lang w:val="hr-HR"/>
        </w:rPr>
      </w:pPr>
      <w:r>
        <w:rPr>
          <w:lang w:val="hr-HR"/>
        </w:rPr>
        <w:t xml:space="preserve">Potrebno je napraviti jasnu razliku između disciplinskog prekršaja </w:t>
      </w:r>
      <w:r w:rsidRPr="003E2DF4">
        <w:rPr>
          <w:lang w:val="hr-HR"/>
        </w:rPr>
        <w:t>„</w:t>
      </w:r>
      <w:r w:rsidRPr="003E2DF4">
        <w:rPr>
          <w:i/>
          <w:iCs/>
          <w:lang w:val="hr-HR"/>
        </w:rPr>
        <w:t>donošenje odluka kojim se očigledno krši zakon ili uporno i neopravdano kršenje pravila postupka</w:t>
      </w:r>
      <w:r w:rsidRPr="003E2DF4">
        <w:rPr>
          <w:lang w:val="hr-HR"/>
        </w:rPr>
        <w:t>“</w:t>
      </w:r>
      <w:r>
        <w:rPr>
          <w:lang w:val="hr-HR"/>
        </w:rPr>
        <w:t xml:space="preserve"> i krivičnih djela sudija počinjenih donošenjem odluka o kojima je ranije bilo govora. Naime, čl. 54 Zakona o VSTV-u propisano je </w:t>
      </w:r>
      <w:r w:rsidR="00312F56">
        <w:rPr>
          <w:lang w:val="hr-HR"/>
        </w:rPr>
        <w:t xml:space="preserve">da sudije i tužioci odgovaraju za disciplinske prekršaje koji su izvršeni iz nehata ili umišljajno, dok je navedena krivična djela moguće izvršiti samo direktnim umišljajem. U relativno starijem primjeru iz disciplinske prakse, </w:t>
      </w:r>
      <w:r w:rsidR="00E17703">
        <w:rPr>
          <w:lang w:val="hr-HR"/>
        </w:rPr>
        <w:t>disciplinska komisija je propustila da uzme u obzir ovu razliku i previše je ekstenzivno tumačila elemente disciplinskog prekršaja</w:t>
      </w:r>
      <w:r w:rsidR="00AD6228">
        <w:rPr>
          <w:rStyle w:val="Funotenzeichen"/>
          <w:lang w:val="hr-HR"/>
        </w:rPr>
        <w:footnoteReference w:id="14"/>
      </w:r>
      <w:r w:rsidR="00E17703">
        <w:rPr>
          <w:lang w:val="hr-HR"/>
        </w:rPr>
        <w:t xml:space="preserve">: </w:t>
      </w:r>
      <w:r w:rsidR="00E17703" w:rsidRPr="00E17703">
        <w:rPr>
          <w:lang w:val="hr-HR"/>
        </w:rPr>
        <w:t>“</w:t>
      </w:r>
      <w:r w:rsidR="00F3297C">
        <w:rPr>
          <w:lang w:val="hr-HR"/>
        </w:rPr>
        <w:t>(</w:t>
      </w:r>
      <w:r w:rsidR="00E17703" w:rsidRPr="00E17703">
        <w:rPr>
          <w:lang w:val="hr-HR"/>
        </w:rPr>
        <w:t>...</w:t>
      </w:r>
      <w:r w:rsidR="00F3297C">
        <w:rPr>
          <w:lang w:val="hr-HR"/>
        </w:rPr>
        <w:t xml:space="preserve">) </w:t>
      </w:r>
      <w:r w:rsidR="00E17703" w:rsidRPr="00E17703">
        <w:rPr>
          <w:i/>
          <w:iCs/>
          <w:lang w:val="hr-HR"/>
        </w:rPr>
        <w:t>zbog pravnog tumačenja norme materijalnog prava (...) za koje je tuženi dao svoje razloge u ukidnom rješenju, tuženi se ne može izložiti disciplinskoj odgovornosti, jer se radi o poimanju i tumačenju pravne norme materijalnog prava, a ne o namjernom kršenju zakona od strane tuženog, gdje je potreban umišljaj i namjera kao subjektivna okolnost da se zakon očigledno prekrši</w:t>
      </w:r>
      <w:r w:rsidR="00E17703" w:rsidRPr="00E17703">
        <w:rPr>
          <w:lang w:val="hr-HR"/>
        </w:rPr>
        <w:t>”</w:t>
      </w:r>
      <w:r w:rsidR="00E17703">
        <w:rPr>
          <w:lang w:val="hr-HR"/>
        </w:rPr>
        <w:t xml:space="preserve"> (odluka </w:t>
      </w:r>
      <w:r w:rsidR="00E17703" w:rsidRPr="00E17703">
        <w:rPr>
          <w:lang w:val="hr-HR"/>
        </w:rPr>
        <w:t xml:space="preserve">Prvostepene disciplinske komisije VSTV </w:t>
      </w:r>
      <w:r w:rsidR="00E17703">
        <w:rPr>
          <w:lang w:val="hr-HR"/>
        </w:rPr>
        <w:t>br.</w:t>
      </w:r>
      <w:r w:rsidR="00E17703" w:rsidRPr="00E17703">
        <w:rPr>
          <w:lang w:val="hr-HR"/>
        </w:rPr>
        <w:t xml:space="preserve"> 04-02-1498-9/2012 od 27.</w:t>
      </w:r>
      <w:r w:rsidR="00C210AF">
        <w:rPr>
          <w:lang w:val="hr-HR"/>
        </w:rPr>
        <w:t xml:space="preserve"> 0</w:t>
      </w:r>
      <w:r w:rsidR="00E17703" w:rsidRPr="00E17703">
        <w:rPr>
          <w:lang w:val="hr-HR"/>
        </w:rPr>
        <w:t>8.</w:t>
      </w:r>
      <w:r w:rsidR="00C210AF">
        <w:rPr>
          <w:lang w:val="hr-HR"/>
        </w:rPr>
        <w:t xml:space="preserve"> </w:t>
      </w:r>
      <w:r w:rsidR="00E17703" w:rsidRPr="00E17703">
        <w:rPr>
          <w:lang w:val="hr-HR"/>
        </w:rPr>
        <w:t>2012</w:t>
      </w:r>
      <w:r w:rsidR="00E17703">
        <w:rPr>
          <w:lang w:val="hr-HR"/>
        </w:rPr>
        <w:t>).</w:t>
      </w:r>
      <w:r w:rsidR="00CD39F3">
        <w:rPr>
          <w:lang w:val="hr-HR"/>
        </w:rPr>
        <w:t xml:space="preserve"> Dakle, iako je prekršaje moguće učiniti </w:t>
      </w:r>
      <w:r w:rsidR="00175556">
        <w:rPr>
          <w:lang w:val="hr-HR"/>
        </w:rPr>
        <w:t>i nehatno, što je i logično jer predstavljaju povredu radne dužnosti, u konkretnom predmetu disciplinska komisija je za njegovo ispunjenje zahtjevala umišljaj i namjeru.</w:t>
      </w:r>
    </w:p>
    <w:p w:rsidR="00E02F89" w:rsidRDefault="00E02F89" w:rsidP="00F70BF3">
      <w:pPr>
        <w:spacing w:after="120"/>
        <w:ind w:right="-7"/>
        <w:jc w:val="both"/>
        <w:rPr>
          <w:lang w:val="hr-HR"/>
        </w:rPr>
      </w:pPr>
      <w:r>
        <w:rPr>
          <w:lang w:val="hr-HR"/>
        </w:rPr>
        <w:t>Međutim, i u disciplinskom postupku trebao bi biti zadržan standard da sudija ne bi trebao biti izložen disciplinskom postupku zbog uobičajene pogreške kakve se svakodnevno dešavaju u sudovima:</w:t>
      </w:r>
      <w:r w:rsidR="007F40E4">
        <w:rPr>
          <w:lang w:val="hr-HR"/>
        </w:rPr>
        <w:t xml:space="preserve"> </w:t>
      </w:r>
      <w:r w:rsidRPr="00E02F89">
        <w:rPr>
          <w:lang w:val="hr-HR"/>
        </w:rPr>
        <w:t>“</w:t>
      </w:r>
      <w:r w:rsidRPr="001A4F3D">
        <w:rPr>
          <w:i/>
          <w:iCs/>
          <w:lang w:val="hr-HR"/>
        </w:rPr>
        <w:t>svaka povreda pravila postupka ne znači automatski i disciplinski prekršaj, već svaku povredu pravila postupka od strane sudije treba suštinski vrednovati u svakom konkretnom postupku</w:t>
      </w:r>
      <w:r w:rsidRPr="00E02F89">
        <w:rPr>
          <w:lang w:val="hr-HR"/>
        </w:rPr>
        <w:t xml:space="preserve">” </w:t>
      </w:r>
      <w:r w:rsidR="001A4F3D">
        <w:rPr>
          <w:lang w:val="hr-HR"/>
        </w:rPr>
        <w:t>(o</w:t>
      </w:r>
      <w:r>
        <w:rPr>
          <w:lang w:val="hr-HR"/>
        </w:rPr>
        <w:t xml:space="preserve">dluka </w:t>
      </w:r>
      <w:r w:rsidRPr="00E02F89">
        <w:rPr>
          <w:lang w:val="hr-HR"/>
        </w:rPr>
        <w:t>Drugostepene disciplinske komisije VSTV</w:t>
      </w:r>
      <w:r>
        <w:rPr>
          <w:lang w:val="hr-HR"/>
        </w:rPr>
        <w:t xml:space="preserve"> br. </w:t>
      </w:r>
      <w:r w:rsidRPr="00E02F89">
        <w:rPr>
          <w:lang w:val="hr-HR"/>
        </w:rPr>
        <w:t xml:space="preserve"> 04-02-197-5/2013 od 25.</w:t>
      </w:r>
      <w:r w:rsidR="00C210AF">
        <w:rPr>
          <w:lang w:val="hr-HR"/>
        </w:rPr>
        <w:t xml:space="preserve"> 0</w:t>
      </w:r>
      <w:r w:rsidRPr="00E02F89">
        <w:rPr>
          <w:lang w:val="hr-HR"/>
        </w:rPr>
        <w:t>3.</w:t>
      </w:r>
      <w:r w:rsidR="00C210AF">
        <w:rPr>
          <w:lang w:val="hr-HR"/>
        </w:rPr>
        <w:t xml:space="preserve"> </w:t>
      </w:r>
      <w:r w:rsidRPr="00E02F89">
        <w:rPr>
          <w:lang w:val="hr-HR"/>
        </w:rPr>
        <w:t>2013</w:t>
      </w:r>
      <w:r w:rsidR="001A4F3D">
        <w:rPr>
          <w:lang w:val="hr-HR"/>
        </w:rPr>
        <w:t>)</w:t>
      </w:r>
      <w:r w:rsidR="004C7FBF">
        <w:rPr>
          <w:lang w:val="hr-HR"/>
        </w:rPr>
        <w:t>.</w:t>
      </w:r>
    </w:p>
    <w:p w:rsidR="00F70BF3" w:rsidRDefault="003600F1" w:rsidP="00F70BF3">
      <w:pPr>
        <w:spacing w:after="120"/>
        <w:ind w:right="-7"/>
        <w:jc w:val="both"/>
        <w:rPr>
          <w:lang w:val="hr-HR"/>
        </w:rPr>
      </w:pPr>
      <w:r>
        <w:rPr>
          <w:lang w:val="hr-HR"/>
        </w:rPr>
        <w:t xml:space="preserve">Prema već ranije spomenutom mišljenju Venecijanske komisije, </w:t>
      </w:r>
      <w:r w:rsidR="001F18E0">
        <w:rPr>
          <w:lang w:val="hr-HR"/>
        </w:rPr>
        <w:t>najbolje je pogreške sudije ispravljati u postupcima p</w:t>
      </w:r>
      <w:r w:rsidR="00AD6228">
        <w:rPr>
          <w:lang w:val="hr-HR"/>
        </w:rPr>
        <w:t>o izjavljenim pravnim lijekovima, što je logično stajalište koje su preuzele i disciplinske komisije</w:t>
      </w:r>
      <w:r w:rsidR="00F70BF3">
        <w:rPr>
          <w:lang w:val="hr-HR"/>
        </w:rPr>
        <w:t>, osim ukoliko je u pitanju eklatantna pogreška:</w:t>
      </w:r>
    </w:p>
    <w:p w:rsidR="00F70BF3" w:rsidRDefault="00C660BA" w:rsidP="00F70BF3">
      <w:pPr>
        <w:numPr>
          <w:ilvl w:val="0"/>
          <w:numId w:val="35"/>
        </w:numPr>
        <w:spacing w:after="120"/>
        <w:ind w:right="-7"/>
        <w:jc w:val="both"/>
        <w:rPr>
          <w:lang w:val="hr-HR"/>
        </w:rPr>
      </w:pPr>
      <w:r>
        <w:rPr>
          <w:lang w:val="hr-HR"/>
        </w:rPr>
        <w:t>„</w:t>
      </w:r>
      <w:r w:rsidR="00C210AF">
        <w:rPr>
          <w:lang w:val="hr-HR"/>
        </w:rPr>
        <w:t>(</w:t>
      </w:r>
      <w:r w:rsidR="00F70BF3" w:rsidRPr="00926557">
        <w:rPr>
          <w:lang w:val="hr-HR"/>
        </w:rPr>
        <w:t>…</w:t>
      </w:r>
      <w:r w:rsidR="00C210AF">
        <w:rPr>
          <w:lang w:val="hr-HR"/>
        </w:rPr>
        <w:t xml:space="preserve">) </w:t>
      </w:r>
      <w:r w:rsidR="00F70BF3" w:rsidRPr="00161047">
        <w:rPr>
          <w:i/>
          <w:iCs/>
          <w:lang w:val="hr-HR"/>
        </w:rPr>
        <w:t xml:space="preserve">i prema stavu ove komisije sama činjenica da je odluka suda ukinuta ili preinačena ne prezumpira postojanje disciplinske odgovornosti sudije odnosno stručnog saradnika koji je odluku donio. Upravo svrha podnošenja pravnih lijekova jeste preispitivanje odluka od strane više instance u cilju donošenja pravilnije odluke suda. U suprotnom, svaka odluka drugostepenog suda kojom se ne potvrđuje prvostepena odluka, predstavljala bi osnov za eventualno pokretanje disciplinskog postupka protiv osobe koja postupa u navedenom predmetu. Ovakvim tumačenjem stavio bi se prevelik teret na sve nosioce pravosudne funkcije u pravosuđu BiH, a sigurno bi bilo i u suprotnosti sa osnovnim ciljem i funkcijom zbog koje je Ured i </w:t>
      </w:r>
      <w:r w:rsidR="00F70BF3" w:rsidRPr="00161047">
        <w:rPr>
          <w:i/>
          <w:iCs/>
          <w:lang w:val="hr-HR"/>
        </w:rPr>
        <w:lastRenderedPageBreak/>
        <w:t>uspostavljen</w:t>
      </w:r>
      <w:r>
        <w:rPr>
          <w:lang w:val="hr-HR"/>
        </w:rPr>
        <w:t>“</w:t>
      </w:r>
      <w:r w:rsidR="00F70BF3" w:rsidRPr="00926557">
        <w:rPr>
          <w:lang w:val="hr-HR"/>
        </w:rPr>
        <w:t xml:space="preserve"> </w:t>
      </w:r>
      <w:r w:rsidR="00F70BF3">
        <w:rPr>
          <w:lang w:val="hr-HR"/>
        </w:rPr>
        <w:t>(odluka</w:t>
      </w:r>
      <w:r w:rsidR="00F70BF3" w:rsidRPr="00926557">
        <w:rPr>
          <w:lang w:val="hr-HR"/>
        </w:rPr>
        <w:t xml:space="preserve"> Drugostepen</w:t>
      </w:r>
      <w:r w:rsidR="00F70BF3">
        <w:rPr>
          <w:lang w:val="hr-HR"/>
        </w:rPr>
        <w:t>e</w:t>
      </w:r>
      <w:r w:rsidR="00F70BF3" w:rsidRPr="00926557">
        <w:rPr>
          <w:lang w:val="hr-HR"/>
        </w:rPr>
        <w:t xml:space="preserve"> disciplinska komisija br. 04-07-6-532-8/2017 od </w:t>
      </w:r>
      <w:r w:rsidR="00DA5C6B">
        <w:rPr>
          <w:lang w:val="hr-HR"/>
        </w:rPr>
        <w:t>0</w:t>
      </w:r>
      <w:r w:rsidR="00F70BF3" w:rsidRPr="00926557">
        <w:rPr>
          <w:lang w:val="hr-HR"/>
        </w:rPr>
        <w:t>2.</w:t>
      </w:r>
      <w:r w:rsidR="00DA5C6B">
        <w:rPr>
          <w:lang w:val="hr-HR"/>
        </w:rPr>
        <w:t xml:space="preserve"> </w:t>
      </w:r>
      <w:r w:rsidR="00F70BF3" w:rsidRPr="00926557">
        <w:rPr>
          <w:lang w:val="hr-HR"/>
        </w:rPr>
        <w:t>10.</w:t>
      </w:r>
      <w:r w:rsidR="00DA5C6B">
        <w:rPr>
          <w:lang w:val="hr-HR"/>
        </w:rPr>
        <w:t xml:space="preserve"> </w:t>
      </w:r>
      <w:r w:rsidR="00F70BF3" w:rsidRPr="00926557">
        <w:rPr>
          <w:lang w:val="hr-HR"/>
        </w:rPr>
        <w:t>2017</w:t>
      </w:r>
      <w:r w:rsidR="00F70BF3">
        <w:rPr>
          <w:lang w:val="hr-HR"/>
        </w:rPr>
        <w:t>);</w:t>
      </w:r>
    </w:p>
    <w:p w:rsidR="003600F1" w:rsidRDefault="00C660BA" w:rsidP="00F70BF3">
      <w:pPr>
        <w:numPr>
          <w:ilvl w:val="0"/>
          <w:numId w:val="35"/>
        </w:numPr>
        <w:spacing w:after="120"/>
        <w:ind w:right="-7"/>
        <w:jc w:val="both"/>
        <w:rPr>
          <w:lang w:val="hr-HR"/>
        </w:rPr>
      </w:pPr>
      <w:r>
        <w:rPr>
          <w:lang w:val="hr-HR"/>
        </w:rPr>
        <w:t>„</w:t>
      </w:r>
      <w:r w:rsidR="00F70BF3" w:rsidRPr="00F70BF3">
        <w:rPr>
          <w:i/>
          <w:iCs/>
          <w:lang w:val="hr-HR"/>
        </w:rPr>
        <w:t>PDK je pravilno utvrdila da je tužena prilikom donošenja Rješenja o zaključivanju likvidacionog postupka, s obzirom na odredbu člana 87. Zakona o VSTV-u BiH u kojoj je propisano da sudija ne može biti odgovoran za odluke koje donese u okviru službenih dužnosti, te posebno jer je postojala mogućnost izjavljivanja pravnog lijeka na Rješenje o zaključivanju likvidacionog postupka, pa ukoliko je eventualno postupajuća sutkinja napravila neki propust to se moglo ispraviti kroz žalbeni postupak na navedeno rješenje…</w:t>
      </w:r>
      <w:r>
        <w:rPr>
          <w:lang w:val="hr-HR"/>
        </w:rPr>
        <w:t>“</w:t>
      </w:r>
      <w:r w:rsidR="00F70BF3" w:rsidRPr="00F70BF3">
        <w:rPr>
          <w:lang w:val="hr-HR"/>
        </w:rPr>
        <w:t xml:space="preserve"> </w:t>
      </w:r>
      <w:r w:rsidR="00F70BF3">
        <w:rPr>
          <w:lang w:val="hr-HR"/>
        </w:rPr>
        <w:t>(O</w:t>
      </w:r>
      <w:r w:rsidR="00F70BF3" w:rsidRPr="00F70BF3">
        <w:rPr>
          <w:lang w:val="hr-HR"/>
        </w:rPr>
        <w:t>dlu</w:t>
      </w:r>
      <w:r w:rsidR="00F70BF3">
        <w:rPr>
          <w:lang w:val="hr-HR"/>
        </w:rPr>
        <w:t>ka</w:t>
      </w:r>
      <w:r w:rsidR="00F70BF3" w:rsidRPr="00F70BF3">
        <w:rPr>
          <w:lang w:val="hr-HR"/>
        </w:rPr>
        <w:t xml:space="preserve"> Drugostepene disciplinske komisije br. 04-07-6-154-15/2020 od </w:t>
      </w:r>
      <w:r w:rsidR="00DA5C6B">
        <w:rPr>
          <w:lang w:val="hr-HR"/>
        </w:rPr>
        <w:t>0</w:t>
      </w:r>
      <w:r w:rsidR="00F70BF3" w:rsidRPr="00F70BF3">
        <w:rPr>
          <w:lang w:val="hr-HR"/>
        </w:rPr>
        <w:t>1.</w:t>
      </w:r>
      <w:r w:rsidR="00DA5C6B">
        <w:rPr>
          <w:lang w:val="hr-HR"/>
        </w:rPr>
        <w:t xml:space="preserve"> 0</w:t>
      </w:r>
      <w:r w:rsidR="00F70BF3" w:rsidRPr="00F70BF3">
        <w:rPr>
          <w:lang w:val="hr-HR"/>
        </w:rPr>
        <w:t>9.</w:t>
      </w:r>
      <w:r w:rsidR="00DA5C6B">
        <w:rPr>
          <w:lang w:val="hr-HR"/>
        </w:rPr>
        <w:t xml:space="preserve"> </w:t>
      </w:r>
      <w:r w:rsidR="00F70BF3" w:rsidRPr="00F70BF3">
        <w:rPr>
          <w:lang w:val="hr-HR"/>
        </w:rPr>
        <w:t>2020</w:t>
      </w:r>
      <w:r w:rsidR="00F70BF3">
        <w:rPr>
          <w:lang w:val="hr-HR"/>
        </w:rPr>
        <w:t>)</w:t>
      </w:r>
      <w:r w:rsidR="004C7FBF">
        <w:rPr>
          <w:lang w:val="hr-HR"/>
        </w:rPr>
        <w:t>.</w:t>
      </w:r>
    </w:p>
    <w:p w:rsidR="00C945D5" w:rsidRDefault="00C945D5" w:rsidP="00B227BA">
      <w:pPr>
        <w:spacing w:after="120"/>
        <w:ind w:right="-7"/>
        <w:jc w:val="both"/>
        <w:rPr>
          <w:lang w:val="hr-HR"/>
        </w:rPr>
      </w:pPr>
      <w:r>
        <w:rPr>
          <w:lang w:val="hr-HR"/>
        </w:rPr>
        <w:t>Imajući u vidu ovakve pojave, jasno je da manifes</w:t>
      </w:r>
      <w:r w:rsidR="007F40E4">
        <w:rPr>
          <w:lang w:val="hr-HR"/>
        </w:rPr>
        <w:t>tacija kršenja pravila postupka mora biti eklatantna, kao u sljedećim primjerima:</w:t>
      </w:r>
    </w:p>
    <w:p w:rsidR="007F40E4" w:rsidRPr="00BB098E" w:rsidRDefault="007F40E4" w:rsidP="005C604F">
      <w:pPr>
        <w:numPr>
          <w:ilvl w:val="0"/>
          <w:numId w:val="36"/>
        </w:numPr>
        <w:spacing w:after="120"/>
        <w:ind w:right="-7"/>
        <w:jc w:val="both"/>
        <w:rPr>
          <w:lang w:val="hr-HR"/>
        </w:rPr>
      </w:pPr>
      <w:r w:rsidRPr="007F40E4">
        <w:rPr>
          <w:i/>
          <w:iCs/>
          <w:lang w:val="hr-HR"/>
        </w:rPr>
        <w:t>postupajući u predmetima</w:t>
      </w:r>
      <w:r w:rsidR="00894597">
        <w:rPr>
          <w:i/>
          <w:iCs/>
          <w:lang w:val="hr-HR"/>
        </w:rPr>
        <w:t xml:space="preserve"> (</w:t>
      </w:r>
      <w:r w:rsidRPr="007F40E4">
        <w:rPr>
          <w:i/>
          <w:iCs/>
          <w:lang w:val="hr-HR"/>
        </w:rPr>
        <w:t>...</w:t>
      </w:r>
      <w:r w:rsidR="00894597">
        <w:rPr>
          <w:i/>
          <w:iCs/>
          <w:lang w:val="hr-HR"/>
        </w:rPr>
        <w:t>)</w:t>
      </w:r>
      <w:r w:rsidRPr="007F40E4">
        <w:rPr>
          <w:i/>
          <w:iCs/>
          <w:lang w:val="hr-HR"/>
        </w:rPr>
        <w:t xml:space="preserve"> Općinskog suda u</w:t>
      </w:r>
      <w:r w:rsidR="002D310D">
        <w:rPr>
          <w:i/>
          <w:iCs/>
          <w:lang w:val="hr-HR"/>
        </w:rPr>
        <w:t xml:space="preserve"> </w:t>
      </w:r>
      <w:r w:rsidR="00894597">
        <w:rPr>
          <w:i/>
          <w:iCs/>
          <w:lang w:val="hr-HR"/>
        </w:rPr>
        <w:t>(</w:t>
      </w:r>
      <w:r w:rsidRPr="007F40E4">
        <w:rPr>
          <w:i/>
          <w:iCs/>
          <w:lang w:val="hr-HR"/>
        </w:rPr>
        <w:t>...</w:t>
      </w:r>
      <w:r w:rsidR="00894597">
        <w:rPr>
          <w:i/>
          <w:iCs/>
          <w:lang w:val="hr-HR"/>
        </w:rPr>
        <w:t>)</w:t>
      </w:r>
      <w:r w:rsidRPr="007F40E4">
        <w:rPr>
          <w:i/>
          <w:iCs/>
          <w:lang w:val="hr-HR"/>
        </w:rPr>
        <w:t xml:space="preserve">, nakon što su u navedenim predmetima ukinute ranije odluke Općinskog suda u </w:t>
      </w:r>
      <w:r w:rsidR="00894597">
        <w:rPr>
          <w:i/>
          <w:iCs/>
          <w:lang w:val="hr-HR"/>
        </w:rPr>
        <w:t>(</w:t>
      </w:r>
      <w:r w:rsidRPr="007F40E4">
        <w:rPr>
          <w:i/>
          <w:iCs/>
          <w:lang w:val="hr-HR"/>
        </w:rPr>
        <w:t>..</w:t>
      </w:r>
      <w:r w:rsidR="00BB098E">
        <w:rPr>
          <w:i/>
          <w:iCs/>
          <w:lang w:val="hr-HR"/>
        </w:rPr>
        <w:t>.</w:t>
      </w:r>
      <w:r w:rsidR="00894597">
        <w:rPr>
          <w:i/>
          <w:iCs/>
          <w:lang w:val="hr-HR"/>
        </w:rPr>
        <w:t>)</w:t>
      </w:r>
      <w:r w:rsidRPr="007F40E4">
        <w:rPr>
          <w:i/>
          <w:iCs/>
          <w:lang w:val="hr-HR"/>
        </w:rPr>
        <w:t xml:space="preserve">, u ponovljenim postupcima, suprotno članu 228. Zakona o parničnom postupku Federacije Bosne i Hercegovine, svjesno donio presude bez održavanja glavne rasprave, nakon čega je Kantonalni sud u </w:t>
      </w:r>
      <w:r w:rsidR="00894597">
        <w:rPr>
          <w:i/>
          <w:iCs/>
          <w:lang w:val="hr-HR"/>
        </w:rPr>
        <w:t>(</w:t>
      </w:r>
      <w:r w:rsidR="00BB098E">
        <w:rPr>
          <w:i/>
          <w:iCs/>
          <w:lang w:val="hr-HR"/>
        </w:rPr>
        <w:t>...</w:t>
      </w:r>
      <w:r w:rsidR="00894597">
        <w:rPr>
          <w:i/>
          <w:iCs/>
          <w:lang w:val="hr-HR"/>
        </w:rPr>
        <w:t>)</w:t>
      </w:r>
      <w:r w:rsidRPr="007F40E4">
        <w:rPr>
          <w:i/>
          <w:iCs/>
          <w:lang w:val="hr-HR"/>
        </w:rPr>
        <w:t xml:space="preserve"> u žalbenom postupku ukinuo sve donesene presude i odredio da se glavna rasprava u ponovljenom postupku ima održati pred drugim sudijom</w:t>
      </w:r>
      <w:r w:rsidR="00B75CC1">
        <w:rPr>
          <w:i/>
          <w:iCs/>
          <w:lang w:val="hr-HR"/>
        </w:rPr>
        <w:t xml:space="preserve"> (</w:t>
      </w:r>
      <w:r w:rsidRPr="007F40E4">
        <w:rPr>
          <w:i/>
          <w:iCs/>
          <w:lang w:val="hr-HR"/>
        </w:rPr>
        <w:t>...</w:t>
      </w:r>
      <w:r w:rsidR="00B75CC1">
        <w:rPr>
          <w:i/>
          <w:iCs/>
          <w:lang w:val="hr-HR"/>
        </w:rPr>
        <w:t>).</w:t>
      </w:r>
      <w:r w:rsidR="00BB098E">
        <w:rPr>
          <w:i/>
          <w:iCs/>
          <w:lang w:val="hr-HR"/>
        </w:rPr>
        <w:t xml:space="preserve"> </w:t>
      </w:r>
      <w:bookmarkStart w:id="8" w:name="_Hlk114170686"/>
      <w:r w:rsidR="00BB098E" w:rsidRPr="00BB098E">
        <w:rPr>
          <w:lang w:val="hr-HR"/>
        </w:rPr>
        <w:t>(Odluka Prvostepen</w:t>
      </w:r>
      <w:r w:rsidR="00BB098E">
        <w:rPr>
          <w:lang w:val="hr-HR"/>
        </w:rPr>
        <w:t>e</w:t>
      </w:r>
      <w:r w:rsidR="00BB098E" w:rsidRPr="00BB098E">
        <w:rPr>
          <w:lang w:val="hr-HR"/>
        </w:rPr>
        <w:t xml:space="preserve"> disciplinske komisije br. </w:t>
      </w:r>
      <w:r w:rsidR="00BB098E">
        <w:rPr>
          <w:lang w:val="hr-HR"/>
        </w:rPr>
        <w:t>04-02-1806-9/2014 od 26.</w:t>
      </w:r>
      <w:r w:rsidR="00DA5C6B">
        <w:rPr>
          <w:lang w:val="hr-HR"/>
        </w:rPr>
        <w:t xml:space="preserve"> 0</w:t>
      </w:r>
      <w:r w:rsidR="00BB098E">
        <w:rPr>
          <w:lang w:val="hr-HR"/>
        </w:rPr>
        <w:t>9.</w:t>
      </w:r>
      <w:r w:rsidR="00DA5C6B">
        <w:rPr>
          <w:lang w:val="hr-HR"/>
        </w:rPr>
        <w:t xml:space="preserve"> </w:t>
      </w:r>
      <w:r w:rsidR="00BB098E">
        <w:rPr>
          <w:lang w:val="hr-HR"/>
        </w:rPr>
        <w:t>2014)</w:t>
      </w:r>
      <w:bookmarkEnd w:id="8"/>
      <w:r w:rsidR="004C7FBF">
        <w:rPr>
          <w:lang w:val="hr-HR"/>
        </w:rPr>
        <w:t>;</w:t>
      </w:r>
    </w:p>
    <w:p w:rsidR="00BB098E" w:rsidRDefault="00DA5C6B" w:rsidP="005C604F">
      <w:pPr>
        <w:numPr>
          <w:ilvl w:val="0"/>
          <w:numId w:val="36"/>
        </w:numPr>
        <w:spacing w:after="120"/>
        <w:ind w:right="-7"/>
        <w:jc w:val="both"/>
        <w:rPr>
          <w:lang w:val="hr-HR"/>
        </w:rPr>
      </w:pPr>
      <w:r>
        <w:rPr>
          <w:i/>
          <w:iCs/>
          <w:lang w:val="hr-HR"/>
        </w:rPr>
        <w:t>(</w:t>
      </w:r>
      <w:r w:rsidR="00BB098E" w:rsidRPr="00BB098E">
        <w:rPr>
          <w:i/>
          <w:iCs/>
          <w:lang w:val="hr-HR"/>
        </w:rPr>
        <w:t>...</w:t>
      </w:r>
      <w:r>
        <w:rPr>
          <w:i/>
          <w:iCs/>
          <w:lang w:val="hr-HR"/>
        </w:rPr>
        <w:t xml:space="preserve">) </w:t>
      </w:r>
      <w:r w:rsidR="00BB098E" w:rsidRPr="00BB098E">
        <w:rPr>
          <w:i/>
          <w:iCs/>
          <w:lang w:val="hr-HR"/>
        </w:rPr>
        <w:t xml:space="preserve">uputio predmete Općinskog suda u </w:t>
      </w:r>
      <w:r>
        <w:rPr>
          <w:i/>
          <w:iCs/>
          <w:lang w:val="hr-HR"/>
        </w:rPr>
        <w:t>(</w:t>
      </w:r>
      <w:r w:rsidR="002D310D">
        <w:rPr>
          <w:i/>
          <w:iCs/>
          <w:lang w:val="hr-HR"/>
        </w:rPr>
        <w:t>...</w:t>
      </w:r>
      <w:r>
        <w:rPr>
          <w:i/>
          <w:iCs/>
          <w:lang w:val="hr-HR"/>
        </w:rPr>
        <w:t>)</w:t>
      </w:r>
      <w:r w:rsidR="002D310D">
        <w:rPr>
          <w:i/>
          <w:iCs/>
          <w:lang w:val="hr-HR"/>
        </w:rPr>
        <w:t xml:space="preserve"> </w:t>
      </w:r>
      <w:r w:rsidR="00BB098E" w:rsidRPr="00BB098E">
        <w:rPr>
          <w:i/>
          <w:iCs/>
          <w:lang w:val="hr-HR"/>
        </w:rPr>
        <w:t>Vrhovnom sudu FBiH, radi „rješavanja sukoba nadležnosti“ između Općinskog i Kantonalnog suda u</w:t>
      </w:r>
      <w:r w:rsidR="00F3297C">
        <w:rPr>
          <w:i/>
          <w:iCs/>
          <w:lang w:val="hr-HR"/>
        </w:rPr>
        <w:t xml:space="preserve"> </w:t>
      </w:r>
      <w:r>
        <w:rPr>
          <w:i/>
          <w:iCs/>
          <w:lang w:val="hr-HR"/>
        </w:rPr>
        <w:t>(</w:t>
      </w:r>
      <w:r w:rsidR="00F3297C">
        <w:rPr>
          <w:i/>
          <w:iCs/>
          <w:lang w:val="hr-HR"/>
        </w:rPr>
        <w:t>.</w:t>
      </w:r>
      <w:r w:rsidR="00BB098E" w:rsidRPr="00BB098E">
        <w:rPr>
          <w:i/>
          <w:iCs/>
          <w:lang w:val="hr-HR"/>
        </w:rPr>
        <w:t>..</w:t>
      </w:r>
      <w:r>
        <w:rPr>
          <w:i/>
          <w:iCs/>
          <w:lang w:val="hr-HR"/>
        </w:rPr>
        <w:t>)</w:t>
      </w:r>
      <w:r w:rsidR="00BB098E" w:rsidRPr="00BB098E">
        <w:rPr>
          <w:i/>
          <w:iCs/>
          <w:lang w:val="hr-HR"/>
        </w:rPr>
        <w:t xml:space="preserve">, suprotno članovima 20. stav 1. i 21. stav 1. ZPP, iako u navedenim predmetima nije donio rješenja kojim se oglasio nenadležnim, niti je u ovim predmetima Kantonalni sud u </w:t>
      </w:r>
      <w:r>
        <w:rPr>
          <w:i/>
          <w:iCs/>
          <w:lang w:val="hr-HR"/>
        </w:rPr>
        <w:t>(</w:t>
      </w:r>
      <w:r w:rsidR="002D310D">
        <w:rPr>
          <w:i/>
          <w:iCs/>
          <w:lang w:val="hr-HR"/>
        </w:rPr>
        <w:t>...</w:t>
      </w:r>
      <w:r>
        <w:rPr>
          <w:i/>
          <w:iCs/>
          <w:lang w:val="hr-HR"/>
        </w:rPr>
        <w:t>)</w:t>
      </w:r>
      <w:r w:rsidR="00BB098E" w:rsidRPr="00BB098E">
        <w:rPr>
          <w:i/>
          <w:iCs/>
          <w:lang w:val="hr-HR"/>
        </w:rPr>
        <w:t xml:space="preserve"> izazvao sukob nadležnost, čega je tuženi bio svjestan, pa je Vrhovni sud sve navedene predmete, bez donošenja odluke o „sukobu nadležnosti“ vratio tuženom na dalje postupanje</w:t>
      </w:r>
      <w:r w:rsidR="00BB098E">
        <w:rPr>
          <w:lang w:val="hr-HR"/>
        </w:rPr>
        <w:t xml:space="preserve">. </w:t>
      </w:r>
      <w:r w:rsidR="00BB098E" w:rsidRPr="00BB098E">
        <w:rPr>
          <w:lang w:val="hr-HR"/>
        </w:rPr>
        <w:t>(Odluka Prvostepene disciplinske komisije br. 04-02-1806-9/2014 od 26.</w:t>
      </w:r>
      <w:r>
        <w:rPr>
          <w:lang w:val="hr-HR"/>
        </w:rPr>
        <w:t xml:space="preserve"> 0</w:t>
      </w:r>
      <w:r w:rsidR="00BB098E" w:rsidRPr="00BB098E">
        <w:rPr>
          <w:lang w:val="hr-HR"/>
        </w:rPr>
        <w:t>9.</w:t>
      </w:r>
      <w:r>
        <w:rPr>
          <w:lang w:val="hr-HR"/>
        </w:rPr>
        <w:t xml:space="preserve"> </w:t>
      </w:r>
      <w:r w:rsidR="00BB098E" w:rsidRPr="00BB098E">
        <w:rPr>
          <w:lang w:val="hr-HR"/>
        </w:rPr>
        <w:t>2014)</w:t>
      </w:r>
      <w:r w:rsidR="004C7FBF">
        <w:rPr>
          <w:lang w:val="hr-HR"/>
        </w:rPr>
        <w:t>;</w:t>
      </w:r>
    </w:p>
    <w:p w:rsidR="007F40E4" w:rsidRPr="00C92627" w:rsidRDefault="00C92627" w:rsidP="005C604F">
      <w:pPr>
        <w:numPr>
          <w:ilvl w:val="0"/>
          <w:numId w:val="36"/>
        </w:numPr>
        <w:spacing w:after="120"/>
        <w:ind w:right="-7"/>
        <w:jc w:val="both"/>
        <w:rPr>
          <w:lang w:val="hr-HR"/>
        </w:rPr>
      </w:pPr>
      <w:r w:rsidRPr="00C92627">
        <w:rPr>
          <w:i/>
          <w:iCs/>
          <w:lang w:val="hr-HR"/>
        </w:rPr>
        <w:t>Tužena je, suprotno čl. 182. st. 1. ZPP-a donijela presudu po propuštanju, iako u smislu čl. 70. st. 1. ZPP-a, nije prošlo 30 dana za dostavljanja tužbe na odgovor, nakon čega je propustila da provede postupak prvostepenog suda po žalbi, propisan čl. 213. – 215. ZPP-a, te donijela rješenje da je presuda van pravnog dejstva, iako mogućnost donošenje ovakve odluke nije propisana ZPP-om, odnosno uporno i neopravdano kršila pravila parničnog postupka i izvršila disciplinski prekršaj propisan čl. 56. tačka 9. Zakona o VSTV-u: „donošenje odluka kojim se očigledno krši zakon ili uporno i neopravdano kršenje pravila postupka“</w:t>
      </w:r>
      <w:r>
        <w:rPr>
          <w:i/>
          <w:iCs/>
          <w:lang w:val="hr-HR"/>
        </w:rPr>
        <w:t xml:space="preserve"> </w:t>
      </w:r>
      <w:r w:rsidRPr="00C92627">
        <w:rPr>
          <w:lang w:val="hr-HR"/>
        </w:rPr>
        <w:t xml:space="preserve">(Odluka Prvostepene disciplinske komisije br. </w:t>
      </w:r>
      <w:r w:rsidR="005C604F">
        <w:rPr>
          <w:lang w:val="hr-HR"/>
        </w:rPr>
        <w:t>11-07-6-4014-4/2021 od 14.</w:t>
      </w:r>
      <w:r w:rsidR="00DA5C6B">
        <w:rPr>
          <w:lang w:val="hr-HR"/>
        </w:rPr>
        <w:t xml:space="preserve"> </w:t>
      </w:r>
      <w:r w:rsidR="005C604F">
        <w:rPr>
          <w:lang w:val="hr-HR"/>
        </w:rPr>
        <w:t>12.</w:t>
      </w:r>
      <w:r w:rsidR="00DA5C6B">
        <w:rPr>
          <w:lang w:val="hr-HR"/>
        </w:rPr>
        <w:t xml:space="preserve"> </w:t>
      </w:r>
      <w:r w:rsidR="005C604F">
        <w:rPr>
          <w:lang w:val="hr-HR"/>
        </w:rPr>
        <w:t>2021)</w:t>
      </w:r>
      <w:r w:rsidR="004C7FBF">
        <w:rPr>
          <w:lang w:val="hr-HR"/>
        </w:rPr>
        <w:t>.</w:t>
      </w:r>
    </w:p>
    <w:p w:rsidR="004920CD" w:rsidRDefault="004920CD" w:rsidP="00B227BA">
      <w:pPr>
        <w:spacing w:after="120"/>
        <w:ind w:right="-7"/>
        <w:jc w:val="both"/>
        <w:rPr>
          <w:lang w:val="hr-HR"/>
        </w:rPr>
      </w:pPr>
      <w:r>
        <w:rPr>
          <w:lang w:val="hr-HR"/>
        </w:rPr>
        <w:t xml:space="preserve">Prva dva primjera su sadržana u istoj </w:t>
      </w:r>
      <w:r w:rsidR="0043179B">
        <w:rPr>
          <w:lang w:val="hr-HR"/>
        </w:rPr>
        <w:t xml:space="preserve">disciplinskoj </w:t>
      </w:r>
      <w:r>
        <w:rPr>
          <w:lang w:val="hr-HR"/>
        </w:rPr>
        <w:t xml:space="preserve">odluci: sudija je neslaganje sa stajalištima višeg suda ispoljio kapricioznim postupanjem u predmetima, što se može podvesti pod postupanje u lošoj vjeri, ali i ponovljeni nemar koji se navodi </w:t>
      </w:r>
      <w:r w:rsidR="002D310D">
        <w:rPr>
          <w:lang w:val="hr-HR"/>
        </w:rPr>
        <w:t xml:space="preserve">u </w:t>
      </w:r>
      <w:r>
        <w:rPr>
          <w:lang w:val="hr-HR"/>
        </w:rPr>
        <w:t xml:space="preserve">mišljenju Venecijanske komisije. Treći primjer </w:t>
      </w:r>
      <w:r w:rsidR="003E2C3D">
        <w:rPr>
          <w:lang w:val="hr-HR"/>
        </w:rPr>
        <w:t>uka</w:t>
      </w:r>
      <w:r>
        <w:rPr>
          <w:lang w:val="hr-HR"/>
        </w:rPr>
        <w:t xml:space="preserve">zuje na znatno </w:t>
      </w:r>
      <w:r w:rsidR="003E2C3D">
        <w:rPr>
          <w:lang w:val="hr-HR"/>
        </w:rPr>
        <w:t xml:space="preserve">benignije kršenje pravila postupka, ali koje </w:t>
      </w:r>
      <w:r w:rsidR="00067B85">
        <w:rPr>
          <w:lang w:val="hr-HR"/>
        </w:rPr>
        <w:t>i dalje</w:t>
      </w:r>
      <w:r w:rsidR="003E2C3D">
        <w:rPr>
          <w:lang w:val="hr-HR"/>
        </w:rPr>
        <w:t xml:space="preserve"> predstavlja propuste koji se </w:t>
      </w:r>
      <w:r w:rsidR="00067B85">
        <w:rPr>
          <w:lang w:val="hr-HR"/>
        </w:rPr>
        <w:t xml:space="preserve">ne viđaju </w:t>
      </w:r>
      <w:r w:rsidR="003E2C3D">
        <w:rPr>
          <w:lang w:val="hr-HR"/>
        </w:rPr>
        <w:t>svakodnevno u sudskoj praksi, pogotovo imajući u vidu njihov kontinuitet u istom predmetu.</w:t>
      </w:r>
      <w:r>
        <w:rPr>
          <w:lang w:val="hr-HR"/>
        </w:rPr>
        <w:t xml:space="preserve"> </w:t>
      </w:r>
    </w:p>
    <w:p w:rsidR="0043179B" w:rsidRDefault="0043179B" w:rsidP="00B227BA">
      <w:pPr>
        <w:spacing w:after="120"/>
        <w:ind w:right="-7"/>
        <w:jc w:val="both"/>
        <w:rPr>
          <w:lang w:val="hr-HR"/>
        </w:rPr>
      </w:pPr>
    </w:p>
    <w:p w:rsidR="0043179B" w:rsidRPr="00970626" w:rsidRDefault="0043179B" w:rsidP="00970626">
      <w:pPr>
        <w:spacing w:after="120"/>
        <w:rPr>
          <w:b/>
          <w:bCs/>
          <w:lang w:val="hr-HR"/>
        </w:rPr>
      </w:pPr>
      <w:r>
        <w:rPr>
          <w:b/>
          <w:bCs/>
          <w:lang w:val="hr-HR"/>
        </w:rPr>
        <w:t>4</w:t>
      </w:r>
      <w:r w:rsidRPr="005F6E2B">
        <w:rPr>
          <w:b/>
          <w:bCs/>
          <w:lang w:val="hr-HR"/>
        </w:rPr>
        <w:t xml:space="preserve">. </w:t>
      </w:r>
      <w:r>
        <w:rPr>
          <w:b/>
          <w:bCs/>
          <w:lang w:val="hr-HR"/>
        </w:rPr>
        <w:t>Funkcionalni imunitet tužilaca – disciplinska praksa</w:t>
      </w:r>
    </w:p>
    <w:p w:rsidR="00E12D92" w:rsidRDefault="00E12D92" w:rsidP="00B227BA">
      <w:pPr>
        <w:spacing w:after="120"/>
        <w:ind w:right="-7"/>
        <w:jc w:val="both"/>
        <w:rPr>
          <w:lang w:val="hr-HR"/>
        </w:rPr>
      </w:pPr>
      <w:r>
        <w:rPr>
          <w:lang w:val="hr-HR"/>
        </w:rPr>
        <w:t>Analogni disciplinski prekršaj nije propisan i za tužioce,</w:t>
      </w:r>
      <w:r w:rsidR="009529F3">
        <w:rPr>
          <w:lang w:val="hr-HR"/>
        </w:rPr>
        <w:t xml:space="preserve"> </w:t>
      </w:r>
      <w:r w:rsidR="007E3ECD">
        <w:rPr>
          <w:lang w:val="hr-HR"/>
        </w:rPr>
        <w:t>vjerovatno</w:t>
      </w:r>
      <w:r>
        <w:rPr>
          <w:lang w:val="hr-HR"/>
        </w:rPr>
        <w:t xml:space="preserve"> </w:t>
      </w:r>
      <w:r w:rsidR="007E3ECD">
        <w:rPr>
          <w:lang w:val="hr-HR"/>
        </w:rPr>
        <w:t xml:space="preserve">imajući u vidu različite uloge suda i tužilaštava u </w:t>
      </w:r>
      <w:r w:rsidR="00F3297C">
        <w:rPr>
          <w:lang w:val="hr-HR"/>
        </w:rPr>
        <w:t xml:space="preserve">pravosudnim </w:t>
      </w:r>
      <w:r w:rsidR="007E3ECD">
        <w:rPr>
          <w:lang w:val="hr-HR"/>
        </w:rPr>
        <w:t xml:space="preserve">postupcima. Tužilaštvo je stranka u postupku i </w:t>
      </w:r>
      <w:r w:rsidR="006D7681">
        <w:rPr>
          <w:lang w:val="hr-HR"/>
        </w:rPr>
        <w:t>njegove optužnice razmatra</w:t>
      </w:r>
      <w:r w:rsidR="00EF7AAC">
        <w:rPr>
          <w:lang w:val="hr-HR"/>
        </w:rPr>
        <w:t xml:space="preserve"> i </w:t>
      </w:r>
      <w:r w:rsidR="006D7681">
        <w:rPr>
          <w:lang w:val="hr-HR"/>
        </w:rPr>
        <w:t xml:space="preserve">potvrđuje </w:t>
      </w:r>
      <w:r w:rsidR="0043179B">
        <w:rPr>
          <w:lang w:val="hr-HR"/>
        </w:rPr>
        <w:t xml:space="preserve">sud </w:t>
      </w:r>
      <w:r w:rsidR="006D7681">
        <w:rPr>
          <w:lang w:val="hr-HR"/>
        </w:rPr>
        <w:t xml:space="preserve">i </w:t>
      </w:r>
      <w:r w:rsidR="00EF7AAC">
        <w:rPr>
          <w:lang w:val="hr-HR"/>
        </w:rPr>
        <w:t>donosi pravosnažnu odluku o krivičnoj odgovornosti</w:t>
      </w:r>
      <w:r w:rsidR="002673BB">
        <w:rPr>
          <w:lang w:val="hr-HR"/>
        </w:rPr>
        <w:t xml:space="preserve"> optuženog</w:t>
      </w:r>
      <w:r w:rsidR="00EF7AAC">
        <w:rPr>
          <w:lang w:val="hr-HR"/>
        </w:rPr>
        <w:t>. Njihovi</w:t>
      </w:r>
      <w:r w:rsidR="006D7681">
        <w:rPr>
          <w:lang w:val="hr-HR"/>
        </w:rPr>
        <w:t xml:space="preserve"> prijedlozi i zahtjevi su podložni sudskom preispitivanju. Eventualne grube nepravilnosti </w:t>
      </w:r>
      <w:r w:rsidR="00EF7AAC">
        <w:rPr>
          <w:lang w:val="hr-HR"/>
        </w:rPr>
        <w:t>tužilaca prilikom postupanja, u ograničenim i eklatantnim situacijama mogli bi eventualno predstavljati druge disciplinske prekršaje tužilaca propisane čl. 57 Zakona o VSTV-u. Jedan od takvih prekršaja je i prekršaj propisan tačkom 8 ovog člana: „</w:t>
      </w:r>
      <w:r w:rsidR="004E71B4" w:rsidRPr="004E71B4">
        <w:rPr>
          <w:i/>
          <w:iCs/>
          <w:lang w:val="hr-HR"/>
        </w:rPr>
        <w:t>nemar ili nepažnja u vršenju službenih dužnosti</w:t>
      </w:r>
      <w:r w:rsidR="004E71B4">
        <w:rPr>
          <w:lang w:val="hr-HR"/>
        </w:rPr>
        <w:t>“.</w:t>
      </w:r>
      <w:r w:rsidR="002673BB">
        <w:rPr>
          <w:lang w:val="hr-HR"/>
        </w:rPr>
        <w:t xml:space="preserve"> </w:t>
      </w:r>
      <w:r w:rsidR="00227AFE">
        <w:rPr>
          <w:lang w:val="hr-HR"/>
        </w:rPr>
        <w:t xml:space="preserve">Kao što je već ranije rečeno, entitetska tužilaštva su nadležna da ispituju zakonitost i pravilnost postupanja podređenih okružnih javnih i kantonalnih tužilaštava. </w:t>
      </w:r>
      <w:r w:rsidR="000A7CCE">
        <w:rPr>
          <w:lang w:val="hr-HR"/>
        </w:rPr>
        <w:t xml:space="preserve">Tužilaštvo Brčko distrikta BiH i Tužilaštvo BiH, s druge strane nemaju nadređena tužilaštva, zbog čega bi </w:t>
      </w:r>
      <w:r w:rsidR="00E2254D">
        <w:rPr>
          <w:lang w:val="hr-HR"/>
        </w:rPr>
        <w:t xml:space="preserve">Ured glavnog tužioca trebao imati aktivniju ulogu u ovim tužilaštvima kada su u pitanju </w:t>
      </w:r>
      <w:r w:rsidR="00E2254D" w:rsidRPr="00E2254D">
        <w:rPr>
          <w:i/>
          <w:iCs/>
          <w:lang w:val="hr-HR"/>
        </w:rPr>
        <w:t>post festum</w:t>
      </w:r>
      <w:r w:rsidR="00E2254D">
        <w:rPr>
          <w:lang w:val="hr-HR"/>
        </w:rPr>
        <w:t xml:space="preserve"> utvrđeni propusti u radu tužilaca. </w:t>
      </w:r>
      <w:r w:rsidR="00227AFE">
        <w:rPr>
          <w:lang w:val="hr-HR"/>
        </w:rPr>
        <w:t xml:space="preserve">Takođe, propusti tužilaštava mogu biti konstatovani pravosnažnim odlukama redovnih sudova ili, u ograničenom broju slučajeva, Ustavnog suda BiH. </w:t>
      </w:r>
      <w:r w:rsidR="002673BB">
        <w:rPr>
          <w:lang w:val="hr-HR"/>
        </w:rPr>
        <w:t>Međutim, kao što ćemo vidjeti, granice ovog prekršaja su u odlukama disciplinskih komisija postavljene prilično visoko.</w:t>
      </w:r>
    </w:p>
    <w:p w:rsidR="002B1F9A" w:rsidRPr="008C694A" w:rsidRDefault="00067B85" w:rsidP="00067B85">
      <w:pPr>
        <w:spacing w:after="120"/>
        <w:ind w:right="-7"/>
        <w:jc w:val="both"/>
        <w:rPr>
          <w:lang w:val="hr-HR"/>
        </w:rPr>
      </w:pPr>
      <w:r>
        <w:rPr>
          <w:lang w:val="hr-HR"/>
        </w:rPr>
        <w:t xml:space="preserve">Potrebno je vratiti se u 2015. </w:t>
      </w:r>
      <w:r w:rsidR="00F3297C">
        <w:rPr>
          <w:lang w:val="hr-HR"/>
        </w:rPr>
        <w:t xml:space="preserve">godinu </w:t>
      </w:r>
      <w:r>
        <w:rPr>
          <w:lang w:val="hr-HR"/>
        </w:rPr>
        <w:t xml:space="preserve">da bismo našli značajniji primjer u kojem je utvrđena disciplinska odgovornost tužilaca: </w:t>
      </w:r>
      <w:r w:rsidRPr="008C694A">
        <w:rPr>
          <w:i/>
          <w:iCs/>
          <w:lang w:val="hr-HR"/>
        </w:rPr>
        <w:t xml:space="preserve">postupajući u predmetu Kantonalnog tužilaštva </w:t>
      </w:r>
      <w:r w:rsidR="00CD13E5">
        <w:rPr>
          <w:i/>
          <w:iCs/>
          <w:lang w:val="hr-HR"/>
        </w:rPr>
        <w:t>(</w:t>
      </w:r>
      <w:r w:rsidRPr="008C694A">
        <w:rPr>
          <w:i/>
          <w:iCs/>
          <w:lang w:val="hr-HR"/>
        </w:rPr>
        <w:t>...</w:t>
      </w:r>
      <w:r w:rsidR="00CD13E5">
        <w:rPr>
          <w:i/>
          <w:iCs/>
          <w:lang w:val="hr-HR"/>
        </w:rPr>
        <w:t>)</w:t>
      </w:r>
      <w:r w:rsidRPr="008C694A">
        <w:rPr>
          <w:i/>
          <w:iCs/>
          <w:lang w:val="hr-HR"/>
        </w:rPr>
        <w:t xml:space="preserve"> protiv </w:t>
      </w:r>
      <w:r w:rsidR="00CD13E5">
        <w:rPr>
          <w:i/>
          <w:iCs/>
          <w:lang w:val="hr-HR"/>
        </w:rPr>
        <w:t>(</w:t>
      </w:r>
      <w:r w:rsidRPr="008C694A">
        <w:rPr>
          <w:i/>
          <w:iCs/>
          <w:lang w:val="hr-HR"/>
        </w:rPr>
        <w:t>...</w:t>
      </w:r>
      <w:r w:rsidR="00CD13E5">
        <w:rPr>
          <w:i/>
          <w:iCs/>
          <w:lang w:val="hr-HR"/>
        </w:rPr>
        <w:t>)</w:t>
      </w:r>
      <w:r w:rsidRPr="008C694A">
        <w:rPr>
          <w:i/>
          <w:iCs/>
          <w:lang w:val="hr-HR"/>
        </w:rPr>
        <w:t xml:space="preserve">, optuženog za krivično djelo lake tjelesne ozljede, na ročištu za glavni pretres u predmetu Općinskog suda u </w:t>
      </w:r>
      <w:r w:rsidR="00924E76">
        <w:rPr>
          <w:i/>
          <w:iCs/>
          <w:lang w:val="hr-HR"/>
        </w:rPr>
        <w:t>(</w:t>
      </w:r>
      <w:r w:rsidRPr="008C694A">
        <w:rPr>
          <w:i/>
          <w:iCs/>
          <w:lang w:val="hr-HR"/>
        </w:rPr>
        <w:t>...</w:t>
      </w:r>
      <w:r w:rsidR="00924E76">
        <w:rPr>
          <w:i/>
          <w:iCs/>
          <w:lang w:val="hr-HR"/>
        </w:rPr>
        <w:t>)</w:t>
      </w:r>
      <w:r w:rsidRPr="008C694A">
        <w:rPr>
          <w:i/>
          <w:iCs/>
          <w:lang w:val="hr-HR"/>
        </w:rPr>
        <w:t>, održanom 28.</w:t>
      </w:r>
      <w:r w:rsidR="00924E76">
        <w:rPr>
          <w:i/>
          <w:iCs/>
          <w:lang w:val="hr-HR"/>
        </w:rPr>
        <w:t xml:space="preserve"> </w:t>
      </w:r>
      <w:r w:rsidRPr="008C694A">
        <w:rPr>
          <w:i/>
          <w:iCs/>
          <w:lang w:val="hr-HR"/>
        </w:rPr>
        <w:t>12.</w:t>
      </w:r>
      <w:r w:rsidR="00924E76">
        <w:rPr>
          <w:i/>
          <w:iCs/>
          <w:lang w:val="hr-HR"/>
        </w:rPr>
        <w:t xml:space="preserve"> </w:t>
      </w:r>
      <w:r w:rsidRPr="008C694A">
        <w:rPr>
          <w:i/>
          <w:iCs/>
          <w:lang w:val="hr-HR"/>
        </w:rPr>
        <w:t xml:space="preserve">2012, </w:t>
      </w:r>
      <w:r w:rsidR="0043179B" w:rsidRPr="0043179B">
        <w:rPr>
          <w:lang w:val="hr-HR"/>
        </w:rPr>
        <w:t>(tuženi je)</w:t>
      </w:r>
      <w:r w:rsidR="0043179B">
        <w:rPr>
          <w:i/>
          <w:iCs/>
          <w:lang w:val="hr-HR"/>
        </w:rPr>
        <w:t xml:space="preserve"> </w:t>
      </w:r>
      <w:r w:rsidRPr="008C694A">
        <w:rPr>
          <w:i/>
          <w:iCs/>
          <w:lang w:val="hr-HR"/>
        </w:rPr>
        <w:t>odustao od daljeg krivičnog gonjenja optuženog, pa je sud istog dana donio presudu kojom se optužba odbija, pogrešno zaključivši da je nalaz i mišljenje vještaka o povredama nanesenim oštećenom, izrađen na osnovu neovjerene kopije dokumentacije, nezakonit dokaz, i iznoseći netačnu konstataciju da tužilaštvo ne raspolaže originalnom medicinskom dokumentacijom, propustivši da prethodno utvrdi koje materijalne dokaze je tužilaštvo pribavilo i uložilo u spis predmeta, a među kojima je bila i ovjerena kopija medicinske dokumentacije – nalaza i mišljenja ljekara specijaliste o</w:t>
      </w:r>
      <w:r w:rsidR="00F3297C">
        <w:rPr>
          <w:i/>
          <w:iCs/>
          <w:lang w:val="hr-HR"/>
        </w:rPr>
        <w:t xml:space="preserve"> </w:t>
      </w:r>
      <w:r w:rsidRPr="008C694A">
        <w:rPr>
          <w:i/>
          <w:iCs/>
          <w:lang w:val="hr-HR"/>
        </w:rPr>
        <w:t>povredama nanesenim oštećenom ...</w:t>
      </w:r>
      <w:r w:rsidR="00F3297C">
        <w:rPr>
          <w:i/>
          <w:iCs/>
          <w:lang w:val="hr-HR"/>
        </w:rPr>
        <w:t xml:space="preserve"> </w:t>
      </w:r>
      <w:r w:rsidRPr="008C694A">
        <w:rPr>
          <w:i/>
          <w:iCs/>
          <w:lang w:val="hr-HR"/>
        </w:rPr>
        <w:t>za koje postupanje je Federalno tužilaštvo Federacije Bosne i Hercegovine utvrdilo da nije pravilno, odnosno,</w:t>
      </w:r>
      <w:r w:rsidR="008C694A" w:rsidRPr="008C694A">
        <w:rPr>
          <w:i/>
          <w:iCs/>
          <w:lang w:val="hr-HR"/>
        </w:rPr>
        <w:t xml:space="preserve"> </w:t>
      </w:r>
      <w:r w:rsidRPr="008C694A">
        <w:rPr>
          <w:i/>
          <w:iCs/>
          <w:lang w:val="hr-HR"/>
        </w:rPr>
        <w:t>propustio da utvrdi kojim materijalnim dokazima raspolaže tužilaštvo, a potom, bez</w:t>
      </w:r>
      <w:r w:rsidR="008C694A" w:rsidRPr="008C694A">
        <w:rPr>
          <w:i/>
          <w:iCs/>
          <w:lang w:val="hr-HR"/>
        </w:rPr>
        <w:t xml:space="preserve"> </w:t>
      </w:r>
      <w:r w:rsidRPr="008C694A">
        <w:rPr>
          <w:i/>
          <w:iCs/>
          <w:lang w:val="hr-HR"/>
        </w:rPr>
        <w:t>opravdanog razloga, odustao od krivičnog gonjenja optuženog, za koje postupanje je</w:t>
      </w:r>
      <w:r w:rsidR="008C694A" w:rsidRPr="008C694A">
        <w:rPr>
          <w:i/>
          <w:iCs/>
          <w:lang w:val="hr-HR"/>
        </w:rPr>
        <w:t xml:space="preserve"> </w:t>
      </w:r>
      <w:r w:rsidRPr="008C694A">
        <w:rPr>
          <w:i/>
          <w:iCs/>
          <w:lang w:val="hr-HR"/>
        </w:rPr>
        <w:t>nadređeno tužilaštvo utvrdilo da je nepravilno, čime je nemarno obavljao svoju</w:t>
      </w:r>
      <w:r w:rsidR="008C694A" w:rsidRPr="008C694A">
        <w:rPr>
          <w:i/>
          <w:iCs/>
          <w:lang w:val="hr-HR"/>
        </w:rPr>
        <w:t xml:space="preserve"> </w:t>
      </w:r>
      <w:r w:rsidRPr="008C694A">
        <w:rPr>
          <w:i/>
          <w:iCs/>
          <w:lang w:val="hr-HR"/>
        </w:rPr>
        <w:t>službenu dužnost postupanja u predmetu i počinio</w:t>
      </w:r>
      <w:r w:rsidR="008C694A" w:rsidRPr="008C694A">
        <w:rPr>
          <w:i/>
          <w:iCs/>
          <w:lang w:val="hr-HR"/>
        </w:rPr>
        <w:t xml:space="preserve"> </w:t>
      </w:r>
      <w:r w:rsidRPr="008C694A">
        <w:rPr>
          <w:i/>
          <w:iCs/>
          <w:lang w:val="hr-HR"/>
        </w:rPr>
        <w:t>disciplinski prekršaj iz člana 57. tačka 8. Zakona o VSTV: „nemar ili nepažnja u</w:t>
      </w:r>
      <w:r w:rsidR="008C694A" w:rsidRPr="008C694A">
        <w:rPr>
          <w:i/>
          <w:iCs/>
          <w:lang w:val="hr-HR"/>
        </w:rPr>
        <w:t xml:space="preserve"> </w:t>
      </w:r>
      <w:r w:rsidRPr="008C694A">
        <w:rPr>
          <w:i/>
          <w:iCs/>
          <w:lang w:val="hr-HR"/>
        </w:rPr>
        <w:t>obavljanju službenih dužnosti“</w:t>
      </w:r>
      <w:r w:rsidR="008C694A">
        <w:rPr>
          <w:lang w:val="hr-HR"/>
        </w:rPr>
        <w:t xml:space="preserve"> (Odluka Prvostepene disciplinske komisije br. 04-02-126-13/2015 od 6.3.2015)</w:t>
      </w:r>
      <w:r w:rsidR="0043179B">
        <w:rPr>
          <w:lang w:val="hr-HR"/>
        </w:rPr>
        <w:t>.</w:t>
      </w:r>
    </w:p>
    <w:p w:rsidR="0043179B" w:rsidRDefault="008C694A" w:rsidP="000A7CCE">
      <w:pPr>
        <w:spacing w:after="120"/>
        <w:ind w:right="-7"/>
        <w:jc w:val="both"/>
        <w:rPr>
          <w:lang w:val="hr-HR"/>
        </w:rPr>
      </w:pPr>
      <w:r>
        <w:rPr>
          <w:lang w:val="hr-HR"/>
        </w:rPr>
        <w:t xml:space="preserve">U naredna dva primjera, disciplinska tužba je odbijena. </w:t>
      </w:r>
    </w:p>
    <w:p w:rsidR="000A7CCE" w:rsidRDefault="00227AFE" w:rsidP="000A7CCE">
      <w:pPr>
        <w:spacing w:after="120"/>
        <w:ind w:right="-7"/>
        <w:jc w:val="both"/>
        <w:rPr>
          <w:lang w:val="hr-HR"/>
        </w:rPr>
      </w:pPr>
      <w:r>
        <w:rPr>
          <w:lang w:val="hr-HR"/>
        </w:rPr>
        <w:t xml:space="preserve">U prvom primjeru tužilac je podigao optužnicu za ratne zločine počinjene u logoru, koju je u više navrata sud vraćao na uređenje. </w:t>
      </w:r>
      <w:r w:rsidR="00282632">
        <w:rPr>
          <w:lang w:val="hr-HR"/>
        </w:rPr>
        <w:t>U prvoj optužnici nije bila navedena nijedna tačka koja se odnosila na ubistva počinjena u logoru. U četvrtoj uređenoj optužnici, koja je i potvrđena, navedene su tačke kojima je obuhvaćeno ubistvo pet lica. U analizi koju je sud sačinio o optužnicama u predmetima ratnih zločina koje su mu u određenom vremenskom periodu dostavljene na potvrđivanje</w:t>
      </w:r>
      <w:r w:rsidR="007374E1">
        <w:rPr>
          <w:lang w:val="hr-HR"/>
        </w:rPr>
        <w:t xml:space="preserve">, okarakterisao je ovakvo postupanje tužilaštva </w:t>
      </w:r>
      <w:r w:rsidR="007374E1" w:rsidRPr="007374E1">
        <w:rPr>
          <w:lang w:val="hr-HR"/>
        </w:rPr>
        <w:t>„</w:t>
      </w:r>
      <w:r w:rsidR="007374E1" w:rsidRPr="007374E1">
        <w:rPr>
          <w:i/>
          <w:iCs/>
          <w:lang w:val="hr-HR"/>
        </w:rPr>
        <w:t>najeklatantnijim primjerom</w:t>
      </w:r>
      <w:r w:rsidR="007374E1" w:rsidRPr="007374E1">
        <w:rPr>
          <w:lang w:val="hr-HR"/>
        </w:rPr>
        <w:t>“</w:t>
      </w:r>
      <w:r w:rsidR="007374E1">
        <w:rPr>
          <w:lang w:val="hr-HR"/>
        </w:rPr>
        <w:t xml:space="preserve"> </w:t>
      </w:r>
      <w:r w:rsidR="007374E1" w:rsidRPr="007374E1">
        <w:rPr>
          <w:lang w:val="hr-HR"/>
        </w:rPr>
        <w:t>postupanja u kojem „</w:t>
      </w:r>
      <w:r w:rsidR="007374E1" w:rsidRPr="007374E1">
        <w:rPr>
          <w:i/>
          <w:iCs/>
          <w:lang w:val="hr-HR"/>
        </w:rPr>
        <w:t xml:space="preserve">optužnicom nisu obuhvaćene sve </w:t>
      </w:r>
      <w:r w:rsidR="007374E1" w:rsidRPr="007374E1">
        <w:rPr>
          <w:i/>
          <w:iCs/>
          <w:lang w:val="hr-HR"/>
        </w:rPr>
        <w:lastRenderedPageBreak/>
        <w:t>radnje koje proizilaze iz dokaza koji su dostavljeni uz optužnicu</w:t>
      </w:r>
      <w:r w:rsidR="007374E1" w:rsidRPr="007374E1">
        <w:rPr>
          <w:lang w:val="hr-HR"/>
        </w:rPr>
        <w:t>“</w:t>
      </w:r>
      <w:r w:rsidR="007374E1">
        <w:rPr>
          <w:lang w:val="hr-HR"/>
        </w:rPr>
        <w:t xml:space="preserve">. </w:t>
      </w:r>
      <w:r w:rsidR="0043179B">
        <w:rPr>
          <w:lang w:val="hr-HR"/>
        </w:rPr>
        <w:t>D</w:t>
      </w:r>
      <w:r w:rsidR="007374E1" w:rsidRPr="007374E1">
        <w:rPr>
          <w:lang w:val="hr-HR"/>
        </w:rPr>
        <w:t>o okončanja dokaznog</w:t>
      </w:r>
      <w:r w:rsidR="007374E1">
        <w:rPr>
          <w:lang w:val="hr-HR"/>
        </w:rPr>
        <w:t xml:space="preserve"> </w:t>
      </w:r>
      <w:r w:rsidR="007374E1" w:rsidRPr="007374E1">
        <w:rPr>
          <w:lang w:val="hr-HR"/>
        </w:rPr>
        <w:t xml:space="preserve">postupka </w:t>
      </w:r>
      <w:r w:rsidR="007374E1">
        <w:rPr>
          <w:lang w:val="hr-HR"/>
        </w:rPr>
        <w:t>u suđenju koje je slijedilo</w:t>
      </w:r>
      <w:r w:rsidR="007374E1" w:rsidRPr="007374E1">
        <w:rPr>
          <w:lang w:val="hr-HR"/>
        </w:rPr>
        <w:t xml:space="preserve">, </w:t>
      </w:r>
      <w:r w:rsidR="007374E1">
        <w:rPr>
          <w:lang w:val="hr-HR"/>
        </w:rPr>
        <w:t xml:space="preserve">postupajući tužilac je </w:t>
      </w:r>
      <w:r w:rsidR="007374E1" w:rsidRPr="007374E1">
        <w:rPr>
          <w:lang w:val="hr-HR"/>
        </w:rPr>
        <w:t>propustio da izvede dokaze za tačku optužnice koji se</w:t>
      </w:r>
      <w:r w:rsidR="007374E1">
        <w:rPr>
          <w:lang w:val="hr-HR"/>
        </w:rPr>
        <w:t xml:space="preserve"> </w:t>
      </w:r>
      <w:r w:rsidR="007374E1" w:rsidRPr="007374E1">
        <w:rPr>
          <w:lang w:val="hr-HR"/>
        </w:rPr>
        <w:t>odnose na događaj u kojem su smrtno stradal</w:t>
      </w:r>
      <w:r w:rsidR="007374E1">
        <w:rPr>
          <w:lang w:val="hr-HR"/>
        </w:rPr>
        <w:t>a</w:t>
      </w:r>
      <w:r w:rsidR="007374E1" w:rsidRPr="007374E1">
        <w:rPr>
          <w:lang w:val="hr-HR"/>
        </w:rPr>
        <w:t xml:space="preserve"> </w:t>
      </w:r>
      <w:r w:rsidR="007374E1">
        <w:rPr>
          <w:lang w:val="hr-HR"/>
        </w:rPr>
        <w:t>dva lica</w:t>
      </w:r>
      <w:r w:rsidR="007374E1" w:rsidRPr="007374E1">
        <w:rPr>
          <w:lang w:val="hr-HR"/>
        </w:rPr>
        <w:t>.</w:t>
      </w:r>
      <w:r w:rsidR="007374E1">
        <w:rPr>
          <w:lang w:val="hr-HR"/>
        </w:rPr>
        <w:t xml:space="preserve"> Međutim, u disciplinskom postupku koji je uslijedio, disciplinske komisije su se bavile pitanjem prerogativa suda da vraća optužnicu na uređenje tužilaštvu, pri čemu nije adresirano suštinsko pitanje eventualnih propusta tužioca. </w:t>
      </w:r>
      <w:r w:rsidR="000A7CCE">
        <w:rPr>
          <w:lang w:val="hr-HR"/>
        </w:rPr>
        <w:t xml:space="preserve">U pogledu merituma postupka komisija je lakonski zaključila da je </w:t>
      </w:r>
      <w:r w:rsidR="000A7CCE" w:rsidRPr="000A7CCE">
        <w:rPr>
          <w:lang w:val="hr-HR"/>
        </w:rPr>
        <w:t xml:space="preserve">Zakon o krivičnom postupku propisao </w:t>
      </w:r>
      <w:r w:rsidR="000A7CCE" w:rsidRPr="000A7CCE">
        <w:rPr>
          <w:i/>
          <w:iCs/>
          <w:lang w:val="hr-HR"/>
        </w:rPr>
        <w:t>”(…) slobodnu ocjenu dokaza, koja jasno propisuje da pravo tužioca da ocjenjuje postojanje ili nepostojanje činjenica nije vezano ni ograničeno posebnim formalnim dokaznim pravilima (...) Dužnost tužioca je da primjenjuje zakon onako kako ga on razumije i tumači, bez naklonosti prema bilo kome, i bez obzira na to da li je data odluka općeprihvaćena ili ne, a to je upravo temelj vladavine prava</w:t>
      </w:r>
      <w:r w:rsidR="000A7CCE" w:rsidRPr="000A7CCE">
        <w:rPr>
          <w:lang w:val="hr-HR"/>
        </w:rPr>
        <w:t xml:space="preserve">” </w:t>
      </w:r>
      <w:r w:rsidR="000A7CCE">
        <w:rPr>
          <w:lang w:val="hr-HR"/>
        </w:rPr>
        <w:t xml:space="preserve">(Odluka </w:t>
      </w:r>
      <w:r w:rsidR="000A7CCE" w:rsidRPr="000A7CCE">
        <w:rPr>
          <w:lang w:val="hr-HR"/>
        </w:rPr>
        <w:t>Prvostepene disciplinske komisije</w:t>
      </w:r>
      <w:r w:rsidR="000A7CCE">
        <w:rPr>
          <w:lang w:val="hr-HR"/>
        </w:rPr>
        <w:t xml:space="preserve"> br. </w:t>
      </w:r>
      <w:r w:rsidR="000A7CCE" w:rsidRPr="000A7CCE">
        <w:rPr>
          <w:lang w:val="hr-HR"/>
        </w:rPr>
        <w:t>04-07-6-345-1/2017 od 10.</w:t>
      </w:r>
      <w:r w:rsidR="008D6288">
        <w:rPr>
          <w:lang w:val="hr-HR"/>
        </w:rPr>
        <w:t xml:space="preserve"> 0</w:t>
      </w:r>
      <w:r w:rsidR="000A7CCE" w:rsidRPr="000A7CCE">
        <w:rPr>
          <w:lang w:val="hr-HR"/>
        </w:rPr>
        <w:t>1.</w:t>
      </w:r>
      <w:r w:rsidR="008D6288">
        <w:rPr>
          <w:lang w:val="hr-HR"/>
        </w:rPr>
        <w:t xml:space="preserve"> </w:t>
      </w:r>
      <w:r w:rsidR="000A7CCE" w:rsidRPr="000A7CCE">
        <w:rPr>
          <w:lang w:val="hr-HR"/>
        </w:rPr>
        <w:t>2017</w:t>
      </w:r>
      <w:r w:rsidR="000A7CCE">
        <w:rPr>
          <w:lang w:val="hr-HR"/>
        </w:rPr>
        <w:t>).</w:t>
      </w:r>
    </w:p>
    <w:p w:rsidR="000A7CCE" w:rsidRDefault="00E2254D" w:rsidP="00354402">
      <w:pPr>
        <w:spacing w:after="120"/>
        <w:ind w:right="-7"/>
        <w:jc w:val="both"/>
        <w:rPr>
          <w:lang w:val="hr-HR"/>
        </w:rPr>
      </w:pPr>
      <w:r>
        <w:rPr>
          <w:lang w:val="hr-HR"/>
        </w:rPr>
        <w:t>U drugom predmetu, disciplinski postupak je pokrenut protiv tužioca koji je</w:t>
      </w:r>
      <w:r w:rsidR="00354402" w:rsidRPr="00354402">
        <w:rPr>
          <w:lang w:val="hr-HR"/>
        </w:rPr>
        <w:t xml:space="preserve">, iako </w:t>
      </w:r>
      <w:r w:rsidR="00354402">
        <w:rPr>
          <w:lang w:val="hr-HR"/>
        </w:rPr>
        <w:t>osoba</w:t>
      </w:r>
      <w:r w:rsidR="00354402" w:rsidRPr="00354402">
        <w:rPr>
          <w:lang w:val="hr-HR"/>
        </w:rPr>
        <w:t xml:space="preserve"> o koj</w:t>
      </w:r>
      <w:r w:rsidR="00354402">
        <w:rPr>
          <w:lang w:val="hr-HR"/>
        </w:rPr>
        <w:t>oj</w:t>
      </w:r>
      <w:r w:rsidR="00354402" w:rsidRPr="00354402">
        <w:rPr>
          <w:lang w:val="hr-HR"/>
        </w:rPr>
        <w:t xml:space="preserve"> je iznosio vrednosne sudove u dvije službene</w:t>
      </w:r>
      <w:r w:rsidR="00354402">
        <w:rPr>
          <w:lang w:val="hr-HR"/>
        </w:rPr>
        <w:t xml:space="preserve"> </w:t>
      </w:r>
      <w:r w:rsidR="00354402" w:rsidRPr="00354402">
        <w:rPr>
          <w:lang w:val="hr-HR"/>
        </w:rPr>
        <w:t>zabilješke</w:t>
      </w:r>
      <w:r w:rsidR="00354402">
        <w:rPr>
          <w:lang w:val="hr-HR"/>
        </w:rPr>
        <w:t xml:space="preserve"> uložene u predmet</w:t>
      </w:r>
      <w:r w:rsidR="00354402" w:rsidRPr="00354402">
        <w:rPr>
          <w:lang w:val="hr-HR"/>
        </w:rPr>
        <w:t>, nije obuhvaćen</w:t>
      </w:r>
      <w:r w:rsidR="00354402">
        <w:rPr>
          <w:lang w:val="hr-HR"/>
        </w:rPr>
        <w:t>a</w:t>
      </w:r>
      <w:r w:rsidR="00354402" w:rsidRPr="00354402">
        <w:rPr>
          <w:lang w:val="hr-HR"/>
        </w:rPr>
        <w:t xml:space="preserve"> krivičnom prijavom, niti je registrovan</w:t>
      </w:r>
      <w:r w:rsidR="00354402">
        <w:rPr>
          <w:lang w:val="hr-HR"/>
        </w:rPr>
        <w:t>a</w:t>
      </w:r>
      <w:r w:rsidR="00354402" w:rsidRPr="00354402">
        <w:rPr>
          <w:lang w:val="hr-HR"/>
        </w:rPr>
        <w:t xml:space="preserve"> u svojstvu</w:t>
      </w:r>
      <w:r w:rsidR="00354402">
        <w:rPr>
          <w:lang w:val="hr-HR"/>
        </w:rPr>
        <w:t xml:space="preserve"> </w:t>
      </w:r>
      <w:r w:rsidR="00354402" w:rsidRPr="00354402">
        <w:rPr>
          <w:lang w:val="hr-HR"/>
        </w:rPr>
        <w:t>osumnjičenog ili bilo kojem drugom svojstvu u ovom predmetu, pozivajući se na</w:t>
      </w:r>
      <w:r w:rsidR="00354402">
        <w:rPr>
          <w:lang w:val="hr-HR"/>
        </w:rPr>
        <w:t xml:space="preserve"> </w:t>
      </w:r>
      <w:r w:rsidR="00354402" w:rsidRPr="00354402">
        <w:rPr>
          <w:lang w:val="hr-HR"/>
        </w:rPr>
        <w:t>neutvrđene medijske navode i objave, koji nisu evidentirani u spisu, očigledno</w:t>
      </w:r>
      <w:r w:rsidR="00354402">
        <w:rPr>
          <w:lang w:val="hr-HR"/>
        </w:rPr>
        <w:t xml:space="preserve"> </w:t>
      </w:r>
      <w:r w:rsidR="00354402" w:rsidRPr="00354402">
        <w:rPr>
          <w:lang w:val="hr-HR"/>
        </w:rPr>
        <w:t xml:space="preserve">kršeći obavezu ispravnog postupanja prema </w:t>
      </w:r>
      <w:r w:rsidR="00354402">
        <w:rPr>
          <w:lang w:val="hr-HR"/>
        </w:rPr>
        <w:t>ovoj osobi</w:t>
      </w:r>
      <w:r w:rsidR="00354402" w:rsidRPr="00354402">
        <w:rPr>
          <w:lang w:val="hr-HR"/>
        </w:rPr>
        <w:t>, preduzimao istražne radnje</w:t>
      </w:r>
      <w:r w:rsidR="00354402">
        <w:rPr>
          <w:lang w:val="hr-HR"/>
        </w:rPr>
        <w:t xml:space="preserve"> </w:t>
      </w:r>
      <w:r w:rsidR="00354402" w:rsidRPr="00354402">
        <w:rPr>
          <w:lang w:val="hr-HR"/>
        </w:rPr>
        <w:t>radi dostavljanje dokumenata odnosno vršenje drugih provjera nepovezanih sa navodima krivične prijave u</w:t>
      </w:r>
      <w:r w:rsidR="00354402">
        <w:rPr>
          <w:lang w:val="hr-HR"/>
        </w:rPr>
        <w:t xml:space="preserve"> </w:t>
      </w:r>
      <w:r w:rsidR="00354402" w:rsidRPr="00354402">
        <w:rPr>
          <w:lang w:val="hr-HR"/>
        </w:rPr>
        <w:t>ovom predmetu.</w:t>
      </w:r>
      <w:r w:rsidR="00354402">
        <w:rPr>
          <w:lang w:val="hr-HR"/>
        </w:rPr>
        <w:t xml:space="preserve"> </w:t>
      </w:r>
      <w:r w:rsidR="00354402" w:rsidRPr="00354402">
        <w:rPr>
          <w:lang w:val="hr-HR"/>
        </w:rPr>
        <w:t>Ovakv</w:t>
      </w:r>
      <w:r w:rsidR="00354402">
        <w:rPr>
          <w:lang w:val="hr-HR"/>
        </w:rPr>
        <w:t>o</w:t>
      </w:r>
      <w:r w:rsidR="00354402" w:rsidRPr="00354402">
        <w:rPr>
          <w:lang w:val="hr-HR"/>
        </w:rPr>
        <w:t xml:space="preserve"> postupanje</w:t>
      </w:r>
      <w:r w:rsidR="00354402">
        <w:rPr>
          <w:lang w:val="hr-HR"/>
        </w:rPr>
        <w:t xml:space="preserve"> kvalifikovano je </w:t>
      </w:r>
      <w:r w:rsidR="00EF247B">
        <w:rPr>
          <w:lang w:val="hr-HR"/>
        </w:rPr>
        <w:t xml:space="preserve">u disciplinskoj tužbi </w:t>
      </w:r>
      <w:r w:rsidR="00354402">
        <w:rPr>
          <w:lang w:val="hr-HR"/>
        </w:rPr>
        <w:t>kao</w:t>
      </w:r>
      <w:r w:rsidR="00354402" w:rsidRPr="00354402">
        <w:rPr>
          <w:lang w:val="hr-HR"/>
        </w:rPr>
        <w:t xml:space="preserve"> disciplinski prekršaj</w:t>
      </w:r>
      <w:r w:rsidR="00354402">
        <w:rPr>
          <w:lang w:val="hr-HR"/>
        </w:rPr>
        <w:t xml:space="preserve"> </w:t>
      </w:r>
      <w:r w:rsidR="00354402" w:rsidRPr="00354402">
        <w:rPr>
          <w:lang w:val="hr-HR"/>
        </w:rPr>
        <w:t>propisan čl. 57 t</w:t>
      </w:r>
      <w:r w:rsidR="00661022">
        <w:rPr>
          <w:lang w:val="hr-HR"/>
        </w:rPr>
        <w:t>ačka</w:t>
      </w:r>
      <w:r w:rsidR="00354402" w:rsidRPr="00354402">
        <w:rPr>
          <w:lang w:val="hr-HR"/>
        </w:rPr>
        <w:t xml:space="preserve"> 3 Zakona o VSTV-u: „</w:t>
      </w:r>
      <w:r w:rsidR="00354402" w:rsidRPr="00094AB1">
        <w:rPr>
          <w:i/>
          <w:iCs/>
          <w:lang w:val="hr-HR"/>
        </w:rPr>
        <w:t>očigledno kršenje obaveze ispravnog</w:t>
      </w:r>
      <w:r w:rsidR="00094AB1" w:rsidRPr="00094AB1">
        <w:rPr>
          <w:i/>
          <w:iCs/>
          <w:lang w:val="hr-HR"/>
        </w:rPr>
        <w:t xml:space="preserve"> </w:t>
      </w:r>
      <w:r w:rsidR="00354402" w:rsidRPr="00094AB1">
        <w:rPr>
          <w:i/>
          <w:iCs/>
          <w:lang w:val="hr-HR"/>
        </w:rPr>
        <w:t>postupanja prema sudiji u postupku, strankama, njihovim pravnim</w:t>
      </w:r>
      <w:r w:rsidR="00094AB1" w:rsidRPr="00094AB1">
        <w:rPr>
          <w:i/>
          <w:iCs/>
          <w:lang w:val="hr-HR"/>
        </w:rPr>
        <w:t xml:space="preserve"> </w:t>
      </w:r>
      <w:r w:rsidR="00354402" w:rsidRPr="00094AB1">
        <w:rPr>
          <w:i/>
          <w:iCs/>
          <w:lang w:val="hr-HR"/>
        </w:rPr>
        <w:t>zastupnicima, svjedocima, ili drugim osobama</w:t>
      </w:r>
      <w:r w:rsidR="00354402" w:rsidRPr="00354402">
        <w:rPr>
          <w:lang w:val="hr-HR"/>
        </w:rPr>
        <w:t>“.</w:t>
      </w:r>
    </w:p>
    <w:p w:rsidR="0009032F" w:rsidRDefault="002B1F9A" w:rsidP="0009032F">
      <w:pPr>
        <w:spacing w:after="120"/>
        <w:ind w:right="-7"/>
        <w:jc w:val="both"/>
        <w:rPr>
          <w:lang w:val="hr-HR"/>
        </w:rPr>
      </w:pPr>
      <w:r w:rsidRPr="002B1F9A">
        <w:rPr>
          <w:lang w:val="hr-HR"/>
        </w:rPr>
        <w:t>U pravosnažnoj odluci Prvostepene disciplinske komisije br. 04-07-6-369-20/2020 od</w:t>
      </w:r>
      <w:r>
        <w:rPr>
          <w:lang w:val="hr-HR"/>
        </w:rPr>
        <w:t xml:space="preserve"> </w:t>
      </w:r>
      <w:r w:rsidRPr="002B1F9A">
        <w:rPr>
          <w:lang w:val="hr-HR"/>
        </w:rPr>
        <w:t>29.</w:t>
      </w:r>
      <w:r w:rsidR="003B3DD8">
        <w:rPr>
          <w:lang w:val="hr-HR"/>
        </w:rPr>
        <w:t xml:space="preserve"> 0</w:t>
      </w:r>
      <w:r w:rsidRPr="002B1F9A">
        <w:rPr>
          <w:lang w:val="hr-HR"/>
        </w:rPr>
        <w:t>9.</w:t>
      </w:r>
      <w:r w:rsidR="003B3DD8">
        <w:rPr>
          <w:lang w:val="hr-HR"/>
        </w:rPr>
        <w:t xml:space="preserve"> </w:t>
      </w:r>
      <w:r w:rsidRPr="002B1F9A">
        <w:rPr>
          <w:lang w:val="hr-HR"/>
        </w:rPr>
        <w:t>2020</w:t>
      </w:r>
      <w:r w:rsidR="00902850">
        <w:rPr>
          <w:lang w:val="hr-HR"/>
        </w:rPr>
        <w:t>. godine</w:t>
      </w:r>
      <w:r w:rsidRPr="002B1F9A">
        <w:rPr>
          <w:lang w:val="hr-HR"/>
        </w:rPr>
        <w:t>, navedeno je: „</w:t>
      </w:r>
      <w:r w:rsidRPr="0009032F">
        <w:rPr>
          <w:i/>
          <w:iCs/>
          <w:lang w:val="hr-HR"/>
        </w:rPr>
        <w:t>Ova Komisija je zaključila da iz svega navedenog proizilazi neosnovanost činjeničnih navoda tužioca, da tuženi nije imao osnova da traži navedene informacije, obzirom da je nesporno da je tuženi donošenjem naredbi ... postupao u granicama svojih zakonskih ovlašćenja propisanih odredbom čl. 35. st. (1) ZKP-a BiH koji propisuje: „Osnovno pravo i osnovna dužnost Tužitelja je otkrivanje i gonjenje učinitelja krivičnih djela koja su u nadležnosti Suda“, odnosno čl. 35. st. 2. tačke a), b), d) i e): „Tužilac ima pravo i dužan je da a) odmah da po saznanju da postoje osnovi sumnje da je počinjeno krivično djelo preduzme potrebne mjere u cilju njegovog otkrivanja i sprovođenja istrage, pronalaženja osumnjičenog, rukovođenja i nadzora nad istragom, kao i radi upravljanja aktivnostima ovlaštenih službenih osoba vezanim za pronalaženje osumnjičenog i prikupljanje izjava i dokaza b) sprovede istragu u skladu sa zakonom d) zahtijeva dostavljanje informacija od strane državnih organa, preduzeća, pravnih i fizičkih osoba u Bosni i Hercegovini e) izdaje pozive i  naredbe i predlaže izdavanje poziva i naredbi u skladu sa ovim zakonom (...) prije svega ova Komisija konstatuje da je predmet disciplinske tužbe zaveden pod oznakom KTAK što znači nepoznat počinilac odnosno nepoznato krivično djelo, te da je u tom smislu tuženi imao ovlaštenje da preduzima sve istražne radnje za koje je procijenio da mogu biti releventne za predmet (...)</w:t>
      </w:r>
      <w:r w:rsidRPr="002B1F9A">
        <w:rPr>
          <w:lang w:val="hr-HR"/>
        </w:rPr>
        <w:t>.“</w:t>
      </w:r>
      <w:r w:rsidR="0009032F">
        <w:rPr>
          <w:lang w:val="hr-HR"/>
        </w:rPr>
        <w:t xml:space="preserve"> </w:t>
      </w:r>
    </w:p>
    <w:p w:rsidR="002673BB" w:rsidRDefault="001022F8" w:rsidP="002B1F9A">
      <w:pPr>
        <w:spacing w:after="120"/>
        <w:ind w:right="-7"/>
        <w:jc w:val="both"/>
        <w:rPr>
          <w:lang w:val="hr-HR"/>
        </w:rPr>
      </w:pPr>
      <w:r>
        <w:rPr>
          <w:lang w:val="hr-HR"/>
        </w:rPr>
        <w:t xml:space="preserve">Analizirajući ova dva predmeta, zaključujemo da je izostalo suštinsko i meritorno obrazloženje o razlozima donošenja odluka u disciplinskom postupku, imajući u vidu činjenične tvrdnje i pravne kvalifikacije iznesene u disciplinskoj tužbi, </w:t>
      </w:r>
      <w:r w:rsidR="00902850">
        <w:rPr>
          <w:lang w:val="hr-HR"/>
        </w:rPr>
        <w:t xml:space="preserve">na koje nije </w:t>
      </w:r>
      <w:r w:rsidR="006A46D8">
        <w:rPr>
          <w:lang w:val="hr-HR"/>
        </w:rPr>
        <w:t>pružen</w:t>
      </w:r>
      <w:r w:rsidR="00902850">
        <w:rPr>
          <w:lang w:val="hr-HR"/>
        </w:rPr>
        <w:t xml:space="preserve"> </w:t>
      </w:r>
      <w:r w:rsidR="00902850">
        <w:rPr>
          <w:lang w:val="hr-HR"/>
        </w:rPr>
        <w:lastRenderedPageBreak/>
        <w:t>odgovor</w:t>
      </w:r>
      <w:r>
        <w:rPr>
          <w:lang w:val="hr-HR"/>
        </w:rPr>
        <w:t xml:space="preserve"> u donesenim odlukama. Zajednička crta stajalištima u oba predmeta je da </w:t>
      </w:r>
      <w:r w:rsidR="006D4705">
        <w:rPr>
          <w:lang w:val="hr-HR"/>
        </w:rPr>
        <w:t xml:space="preserve">se disciplinske komisije uopšteno pozivaju na generalna ovlaštenja tužilaca propisana </w:t>
      </w:r>
      <w:r w:rsidR="00902850">
        <w:rPr>
          <w:lang w:val="hr-HR"/>
        </w:rPr>
        <w:t>z</w:t>
      </w:r>
      <w:r w:rsidR="006D4705">
        <w:rPr>
          <w:lang w:val="hr-HR"/>
        </w:rPr>
        <w:t>akon</w:t>
      </w:r>
      <w:r w:rsidR="00902850">
        <w:rPr>
          <w:lang w:val="hr-HR"/>
        </w:rPr>
        <w:t>ima</w:t>
      </w:r>
      <w:r w:rsidR="006D4705">
        <w:rPr>
          <w:lang w:val="hr-HR"/>
        </w:rPr>
        <w:t xml:space="preserve"> o krivičnom postupku, bez značajnijeg osvrta na konkretno postupanje koje bi trebalo da (ne)predstavlja disciplinski prekršaj. Zaključak koji se nameće u ovim predmetima je da se granice eventualne arbitrarnosti prilikom postupanja u tužilačkim predmetima ne naziru u disciplinskim odlukama VSTV-a.</w:t>
      </w:r>
    </w:p>
    <w:p w:rsidR="000A7CCE" w:rsidRDefault="000A7CCE" w:rsidP="007374E1">
      <w:pPr>
        <w:spacing w:after="120"/>
        <w:ind w:right="-7"/>
        <w:jc w:val="both"/>
        <w:rPr>
          <w:lang w:val="hr-HR"/>
        </w:rPr>
      </w:pPr>
    </w:p>
    <w:p w:rsidR="00EF247B" w:rsidRPr="00EF247B" w:rsidRDefault="00EF247B" w:rsidP="00EF247B">
      <w:pPr>
        <w:pStyle w:val="Naslov1"/>
      </w:pPr>
      <w:bookmarkStart w:id="9" w:name="_Toc329163985"/>
      <w:r w:rsidRPr="00EF247B">
        <w:t>5</w:t>
      </w:r>
      <w:r w:rsidR="003C08EB" w:rsidRPr="00EF247B">
        <w:t xml:space="preserve"> . </w:t>
      </w:r>
      <w:r w:rsidR="0057013B" w:rsidRPr="00EF247B">
        <w:t>Zaključak</w:t>
      </w:r>
      <w:bookmarkEnd w:id="9"/>
      <w:r w:rsidR="0057013B" w:rsidRPr="00EF247B">
        <w:t xml:space="preserve"> </w:t>
      </w:r>
    </w:p>
    <w:p w:rsidR="00B21253" w:rsidRDefault="00C77A67" w:rsidP="00994055">
      <w:pPr>
        <w:spacing w:after="120"/>
        <w:ind w:right="-7"/>
        <w:jc w:val="both"/>
        <w:rPr>
          <w:lang w:val="hr-HR"/>
        </w:rPr>
      </w:pPr>
      <w:r>
        <w:rPr>
          <w:lang w:val="hr-HR"/>
        </w:rPr>
        <w:t xml:space="preserve">Kao što </w:t>
      </w:r>
      <w:r w:rsidR="00C660BA">
        <w:rPr>
          <w:lang w:val="hr-HR"/>
        </w:rPr>
        <w:t>se vidi</w:t>
      </w:r>
      <w:r>
        <w:rPr>
          <w:lang w:val="hr-HR"/>
        </w:rPr>
        <w:t xml:space="preserve"> iz prikazanog normativnog okvira, sudije i tužioci uživaju visok stepen funkcionalne nezavisnosti, što je i u skladu sa međunarodnim standardima. Garancije sadržane u pravnim propisima možda su i potrebnij</w:t>
      </w:r>
      <w:r w:rsidR="00235A40">
        <w:rPr>
          <w:lang w:val="hr-HR"/>
        </w:rPr>
        <w:t xml:space="preserve">e u </w:t>
      </w:r>
      <w:r w:rsidR="00FC5A08">
        <w:rPr>
          <w:lang w:val="hr-HR"/>
        </w:rPr>
        <w:t xml:space="preserve">našoj zemlji, nego što su u zemljama sa etabiliranim pravosudnim sistemima, sa razvijenom pravosudnom i akademskom zajednicom, čiji se glas uvažava u javnosti. U zadnje vrijeme primjetan je trend da i u ovakvim zemljama plima političkog populizma pokušava dovesti u pitanje nezavisnost pravosuđa. </w:t>
      </w:r>
    </w:p>
    <w:p w:rsidR="003879B8" w:rsidRDefault="00FC5A08" w:rsidP="00994055">
      <w:pPr>
        <w:spacing w:after="120"/>
        <w:ind w:right="-7"/>
        <w:jc w:val="both"/>
        <w:rPr>
          <w:lang w:val="hr-HR"/>
        </w:rPr>
      </w:pPr>
      <w:r>
        <w:rPr>
          <w:lang w:val="hr-HR"/>
        </w:rPr>
        <w:t xml:space="preserve">Nažalost, bosanskohercegovačka stvarnost je mnogo sumornija. </w:t>
      </w:r>
      <w:r w:rsidR="00B21253">
        <w:rPr>
          <w:lang w:val="hr-HR"/>
        </w:rPr>
        <w:t xml:space="preserve">Pasivnost profesionalne zajednice i naizgled nezainteresiranost akademskih radnika za funkcionisanje pravosuđa </w:t>
      </w:r>
      <w:r w:rsidR="009D76A9">
        <w:rPr>
          <w:lang w:val="hr-HR"/>
        </w:rPr>
        <w:t xml:space="preserve">otvorila je prostor da u javnom diskursu o odgovornosti nosilaca pravosudnih funkcija dominiraju glasovi laika, političara, ostrašćenih i zainteresiranih </w:t>
      </w:r>
      <w:r w:rsidR="003E776F">
        <w:rPr>
          <w:lang w:val="hr-HR"/>
        </w:rPr>
        <w:t>osoba</w:t>
      </w:r>
      <w:r w:rsidR="009D76A9">
        <w:rPr>
          <w:lang w:val="hr-HR"/>
        </w:rPr>
        <w:t xml:space="preserve"> koji nerijetko </w:t>
      </w:r>
      <w:r w:rsidR="0068459F">
        <w:rPr>
          <w:lang w:val="hr-HR"/>
        </w:rPr>
        <w:t xml:space="preserve">javno </w:t>
      </w:r>
      <w:r w:rsidR="009D76A9">
        <w:rPr>
          <w:lang w:val="hr-HR"/>
        </w:rPr>
        <w:t xml:space="preserve">propagiraju teze da za svaku odluku koja se može percipirati pogrešnom ili nepovoljnom po njih sudija ili tužilac treba biti razriješen dužnosti </w:t>
      </w:r>
      <w:r w:rsidR="003E776F">
        <w:rPr>
          <w:lang w:val="hr-HR"/>
        </w:rPr>
        <w:t>i/</w:t>
      </w:r>
      <w:r w:rsidR="009D76A9">
        <w:rPr>
          <w:lang w:val="hr-HR"/>
        </w:rPr>
        <w:t xml:space="preserve">ili krivično gonjen. </w:t>
      </w:r>
      <w:r w:rsidR="003E776F">
        <w:rPr>
          <w:lang w:val="hr-HR"/>
        </w:rPr>
        <w:t xml:space="preserve">Ovakve </w:t>
      </w:r>
      <w:r w:rsidR="00CC2174">
        <w:rPr>
          <w:lang w:val="hr-HR"/>
        </w:rPr>
        <w:t>(</w:t>
      </w:r>
      <w:r w:rsidR="003E776F">
        <w:rPr>
          <w:lang w:val="hr-HR"/>
        </w:rPr>
        <w:t>populističke</w:t>
      </w:r>
      <w:r w:rsidR="00CC2174">
        <w:rPr>
          <w:lang w:val="hr-HR"/>
        </w:rPr>
        <w:t>)</w:t>
      </w:r>
      <w:r w:rsidR="003E776F">
        <w:rPr>
          <w:lang w:val="hr-HR"/>
        </w:rPr>
        <w:t xml:space="preserve"> tvrdnje nailaze na plodno tlo u </w:t>
      </w:r>
      <w:r w:rsidR="00492A03">
        <w:rPr>
          <w:lang w:val="hr-HR"/>
        </w:rPr>
        <w:t xml:space="preserve">široj </w:t>
      </w:r>
      <w:r w:rsidR="00EF247B">
        <w:rPr>
          <w:lang w:val="hr-HR"/>
        </w:rPr>
        <w:t xml:space="preserve">laičkoj </w:t>
      </w:r>
      <w:r w:rsidR="003E776F">
        <w:rPr>
          <w:lang w:val="hr-HR"/>
        </w:rPr>
        <w:t xml:space="preserve">javnosti koja je generalno </w:t>
      </w:r>
      <w:r w:rsidR="006A46D8">
        <w:rPr>
          <w:lang w:val="hr-HR"/>
        </w:rPr>
        <w:t>(</w:t>
      </w:r>
      <w:r w:rsidR="001766B9">
        <w:rPr>
          <w:lang w:val="hr-HR"/>
        </w:rPr>
        <w:t>i s pravom</w:t>
      </w:r>
      <w:r w:rsidR="006A46D8">
        <w:rPr>
          <w:lang w:val="hr-HR"/>
        </w:rPr>
        <w:t>)</w:t>
      </w:r>
      <w:r w:rsidR="001766B9">
        <w:rPr>
          <w:lang w:val="hr-HR"/>
        </w:rPr>
        <w:t xml:space="preserve"> </w:t>
      </w:r>
      <w:r w:rsidR="003E776F">
        <w:rPr>
          <w:lang w:val="hr-HR"/>
        </w:rPr>
        <w:t>nezadovoljna radom državnih organa sve tri grane vlasti.</w:t>
      </w:r>
    </w:p>
    <w:p w:rsidR="00A27C99" w:rsidRDefault="003E776F" w:rsidP="00994055">
      <w:pPr>
        <w:spacing w:after="120"/>
        <w:ind w:right="-7"/>
        <w:jc w:val="both"/>
        <w:rPr>
          <w:lang w:val="hr-HR"/>
        </w:rPr>
      </w:pPr>
      <w:r>
        <w:rPr>
          <w:lang w:val="hr-HR"/>
        </w:rPr>
        <w:t xml:space="preserve">Stoga je funkcionalna nezavisnost i imunitet sudija i tužilaca važan alat koji je neophodan za </w:t>
      </w:r>
      <w:r w:rsidR="00CD5F99">
        <w:rPr>
          <w:lang w:val="hr-HR"/>
        </w:rPr>
        <w:t xml:space="preserve">svakodnevno obavljanje dužnosti. </w:t>
      </w:r>
      <w:r w:rsidR="00DC7F6E">
        <w:rPr>
          <w:lang w:val="hr-HR"/>
        </w:rPr>
        <w:t>U sup</w:t>
      </w:r>
      <w:r w:rsidR="00A27C99">
        <w:rPr>
          <w:lang w:val="hr-HR"/>
        </w:rPr>
        <w:t>ro</w:t>
      </w:r>
      <w:r w:rsidR="00DC7F6E">
        <w:rPr>
          <w:lang w:val="hr-HR"/>
        </w:rPr>
        <w:t xml:space="preserve">tnom sudije i tužioci za svaku donesenu odluku izlažu se optužbama da su zloupotrijebili položaj kako bi nekome nanijeli štetu ili omogućili korist. </w:t>
      </w:r>
      <w:r w:rsidR="00CD5F99">
        <w:rPr>
          <w:lang w:val="hr-HR"/>
        </w:rPr>
        <w:t xml:space="preserve">Međutim, ovi alati ne trebaju prerasti u štit od odgovornosti za  </w:t>
      </w:r>
      <w:r w:rsidR="00DB4FA7">
        <w:rPr>
          <w:lang w:val="hr-HR"/>
        </w:rPr>
        <w:t xml:space="preserve">eklatantno kršenje zakona koje je van svih standarda prakse pravosudnih institucija. </w:t>
      </w:r>
    </w:p>
    <w:p w:rsidR="004438E3" w:rsidRDefault="00A27C99" w:rsidP="00E95622">
      <w:pPr>
        <w:spacing w:after="120"/>
        <w:ind w:right="-7"/>
        <w:jc w:val="both"/>
        <w:rPr>
          <w:lang w:val="hr-HR"/>
        </w:rPr>
      </w:pPr>
      <w:r>
        <w:rPr>
          <w:lang w:val="hr-HR"/>
        </w:rPr>
        <w:t>S druge strane, praksa disciplinskih komisija VSTV-a ostaje nekonzistentna</w:t>
      </w:r>
      <w:r w:rsidR="00AE3B1B">
        <w:rPr>
          <w:lang w:val="hr-HR"/>
        </w:rPr>
        <w:t xml:space="preserve">, naročito kada je u pitanju funkcionalna nezavisnost tužilaca. </w:t>
      </w:r>
      <w:r>
        <w:rPr>
          <w:lang w:val="hr-HR"/>
        </w:rPr>
        <w:t xml:space="preserve">Kada su u pitanju sudije, </w:t>
      </w:r>
      <w:r w:rsidR="00AE3B1B">
        <w:rPr>
          <w:lang w:val="hr-HR"/>
        </w:rPr>
        <w:t>osnov za izvršenje disciplinskih prekršaja je da se ne radi o uobičajenoj pogrešci sudija koja se može ispravit</w:t>
      </w:r>
      <w:r w:rsidR="007C2AD1">
        <w:rPr>
          <w:lang w:val="hr-HR"/>
        </w:rPr>
        <w:t>i</w:t>
      </w:r>
      <w:r w:rsidR="00AE3B1B">
        <w:rPr>
          <w:lang w:val="hr-HR"/>
        </w:rPr>
        <w:t xml:space="preserve"> u žalbenom postupku</w:t>
      </w:r>
      <w:r w:rsidR="00CC2174">
        <w:rPr>
          <w:lang w:val="hr-HR"/>
        </w:rPr>
        <w:t>. T</w:t>
      </w:r>
      <w:r w:rsidR="00AE3B1B">
        <w:rPr>
          <w:lang w:val="hr-HR"/>
        </w:rPr>
        <w:t>o je i kompatibilno</w:t>
      </w:r>
      <w:r w:rsidR="007C2AD1">
        <w:rPr>
          <w:lang w:val="hr-HR"/>
        </w:rPr>
        <w:t xml:space="preserve"> mišljenju Venecijanske komisije, prema kojem se treba fokusirati na odluke donesene u lošoj vjeri ili ponovljenim nemarom. U pogledu tužilaca, </w:t>
      </w:r>
      <w:r w:rsidR="00902850">
        <w:rPr>
          <w:lang w:val="hr-HR"/>
        </w:rPr>
        <w:t>standardi</w:t>
      </w:r>
      <w:r w:rsidR="007C2AD1">
        <w:rPr>
          <w:lang w:val="hr-HR"/>
        </w:rPr>
        <w:t xml:space="preserve"> su još uvijek nejasn</w:t>
      </w:r>
      <w:r w:rsidR="00902850">
        <w:rPr>
          <w:lang w:val="hr-HR"/>
        </w:rPr>
        <w:t>i</w:t>
      </w:r>
      <w:r w:rsidR="007C2AD1">
        <w:rPr>
          <w:lang w:val="hr-HR"/>
        </w:rPr>
        <w:t xml:space="preserve"> i nakon 18 godina rada VSTV-a. Insistiranje disciplinskih komisija za tužioce na </w:t>
      </w:r>
      <w:r w:rsidR="00A007AE">
        <w:rPr>
          <w:lang w:val="hr-HR"/>
        </w:rPr>
        <w:t>zakonskim ovlastima tužilaca, pri čemu nisu dati jasni odgovori u navedenim predmetima koji su pokrenuti zbog njihovog nepravilnog korištenja</w:t>
      </w:r>
      <w:r w:rsidR="005034C4">
        <w:rPr>
          <w:lang w:val="hr-HR"/>
        </w:rPr>
        <w:t>,</w:t>
      </w:r>
      <w:r w:rsidR="00A007AE">
        <w:rPr>
          <w:lang w:val="hr-HR"/>
        </w:rPr>
        <w:t xml:space="preserve"> ne daju jasnu sliku postupanja </w:t>
      </w:r>
      <w:r w:rsidR="00815BCB">
        <w:rPr>
          <w:lang w:val="hr-HR"/>
        </w:rPr>
        <w:t>koje zalazi u sferu disciplinskog prekršaja.</w:t>
      </w:r>
      <w:r w:rsidR="007363E6">
        <w:rPr>
          <w:lang w:val="hr-HR"/>
        </w:rPr>
        <w:t xml:space="preserve"> </w:t>
      </w:r>
    </w:p>
    <w:p w:rsidR="007363E6" w:rsidRDefault="007363E6" w:rsidP="00E95622">
      <w:pPr>
        <w:spacing w:after="120"/>
        <w:ind w:right="-7"/>
        <w:jc w:val="both"/>
        <w:rPr>
          <w:lang w:val="hr-HR"/>
        </w:rPr>
      </w:pPr>
      <w:r>
        <w:rPr>
          <w:lang w:val="hr-HR"/>
        </w:rPr>
        <w:t xml:space="preserve">Ne tako davno, u </w:t>
      </w:r>
      <w:r w:rsidRPr="007363E6">
        <w:rPr>
          <w:lang w:val="hr-HR"/>
        </w:rPr>
        <w:t xml:space="preserve">Izvještaj stručnjaka </w:t>
      </w:r>
      <w:r>
        <w:rPr>
          <w:lang w:val="hr-HR"/>
        </w:rPr>
        <w:t xml:space="preserve">Evropske komisije </w:t>
      </w:r>
      <w:r w:rsidRPr="007363E6">
        <w:rPr>
          <w:lang w:val="hr-HR"/>
        </w:rPr>
        <w:t>o pitanjima vladavine prava u Bosni i</w:t>
      </w:r>
      <w:r>
        <w:rPr>
          <w:lang w:val="hr-HR"/>
        </w:rPr>
        <w:t xml:space="preserve"> </w:t>
      </w:r>
      <w:r w:rsidRPr="007363E6">
        <w:rPr>
          <w:lang w:val="hr-HR"/>
        </w:rPr>
        <w:t>Hercegovini</w:t>
      </w:r>
      <w:r>
        <w:rPr>
          <w:lang w:val="hr-HR"/>
        </w:rPr>
        <w:t xml:space="preserve">, objavljenom krajem </w:t>
      </w:r>
      <w:r w:rsidR="00A175B0">
        <w:rPr>
          <w:lang w:val="hr-HR"/>
        </w:rPr>
        <w:t>2019</w:t>
      </w:r>
      <w:r w:rsidR="006A46D8">
        <w:rPr>
          <w:lang w:val="hr-HR"/>
        </w:rPr>
        <w:t>. godine</w:t>
      </w:r>
      <w:r w:rsidR="00A82029">
        <w:rPr>
          <w:rStyle w:val="Funotenzeichen"/>
          <w:lang w:val="hr-HR"/>
        </w:rPr>
        <w:footnoteReference w:id="15"/>
      </w:r>
      <w:r w:rsidR="00A175B0">
        <w:rPr>
          <w:lang w:val="hr-HR"/>
        </w:rPr>
        <w:t xml:space="preserve">, </w:t>
      </w:r>
      <w:r w:rsidR="00751575">
        <w:rPr>
          <w:lang w:val="hr-HR"/>
        </w:rPr>
        <w:t>utvr</w:t>
      </w:r>
      <w:r w:rsidR="00751575">
        <w:rPr>
          <w:lang w:val="bs-Latn-BA"/>
        </w:rPr>
        <w:t>đeno</w:t>
      </w:r>
      <w:r w:rsidR="00E95622">
        <w:rPr>
          <w:lang w:val="hr-HR"/>
        </w:rPr>
        <w:t xml:space="preserve"> je: „</w:t>
      </w:r>
      <w:r w:rsidR="00E95622" w:rsidRPr="00E95622">
        <w:rPr>
          <w:i/>
          <w:iCs/>
          <w:lang w:val="hr-HR"/>
        </w:rPr>
        <w:t xml:space="preserve">Kvalitet mnogih krivičnih istraga je na vrlo niskom nivou. U nekim slučajevima, tužioci ne pokreću gonjenje čak i kad postoje dokazi za to. Uočeno je da se bez odgovarajućeg obrazloženja propuštaju </w:t>
      </w:r>
      <w:r w:rsidR="00E95622" w:rsidRPr="00E95622">
        <w:rPr>
          <w:i/>
          <w:iCs/>
          <w:lang w:val="hr-HR"/>
        </w:rPr>
        <w:lastRenderedPageBreak/>
        <w:t>poduzeti očigledni koraci u istrazi, posebno u predmetima teških oblika krivičnih djela na visokom nivou ili koji se odnose na „visokorangirane osobe</w:t>
      </w:r>
      <w:r w:rsidR="00E95622" w:rsidRPr="00E95622">
        <w:rPr>
          <w:lang w:val="hr-HR"/>
        </w:rPr>
        <w:t>“</w:t>
      </w:r>
      <w:r w:rsidR="00E95622">
        <w:rPr>
          <w:lang w:val="hr-HR"/>
        </w:rPr>
        <w:t xml:space="preserve">. Insistiranje na apsolutnim tužilačkim ovlastima, bez adekvatne odgovornosti, sigurno neće adresirati ustanovljene probleme. </w:t>
      </w:r>
    </w:p>
    <w:p w:rsidR="00815BCB" w:rsidRPr="001203BD" w:rsidRDefault="00815BCB" w:rsidP="007363E6">
      <w:pPr>
        <w:spacing w:after="120"/>
        <w:ind w:right="-7"/>
        <w:jc w:val="both"/>
        <w:rPr>
          <w:lang w:val="hr-HR"/>
        </w:rPr>
      </w:pPr>
      <w:r>
        <w:rPr>
          <w:lang w:val="hr-HR"/>
        </w:rPr>
        <w:t>Jedno je sigurno: visok stepen nominalne nezavisnosti sudija i tužilaca zahtijeva i adekvatne procese imenovanja i kontinuirane edukacije kako bi se obezbijedilo da su na važne funkcije izabrane osobe koje zaslužuju štit imuniteta. U suprotnom, broj pokrenutih disciplinskih i krivičnih postupaka protiv sudija i tužilaca ukazuje i na nedostatke ovih procesa.</w:t>
      </w:r>
    </w:p>
    <w:sectPr w:rsidR="00815BCB" w:rsidRPr="001203BD" w:rsidSect="00B06391">
      <w:footerReference w:type="even" r:id="rId8"/>
      <w:footerReference w:type="default" r:id="rId9"/>
      <w:pgSz w:w="12240" w:h="15840" w:code="1"/>
      <w:pgMar w:top="1440" w:right="1797" w:bottom="1440" w:left="1797" w:header="709"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A21" w:rsidRDefault="00AE1A21">
      <w:r>
        <w:separator/>
      </w:r>
    </w:p>
  </w:endnote>
  <w:endnote w:type="continuationSeparator" w:id="0">
    <w:p w:rsidR="00AE1A21" w:rsidRDefault="00AE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PP">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39" w:rsidRDefault="00AA5539" w:rsidP="004B2B2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A5539" w:rsidRDefault="00AA55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39" w:rsidRDefault="00AA5539" w:rsidP="004B2B2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918E2">
      <w:rPr>
        <w:rStyle w:val="Seitenzahl"/>
        <w:noProof/>
      </w:rPr>
      <w:t>1</w:t>
    </w:r>
    <w:r>
      <w:rPr>
        <w:rStyle w:val="Seitenzahl"/>
      </w:rPr>
      <w:fldChar w:fldCharType="end"/>
    </w:r>
  </w:p>
  <w:p w:rsidR="00AA5539" w:rsidRDefault="00AA55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A21" w:rsidRDefault="00AE1A21">
      <w:r>
        <w:separator/>
      </w:r>
    </w:p>
  </w:footnote>
  <w:footnote w:type="continuationSeparator" w:id="0">
    <w:p w:rsidR="00AE1A21" w:rsidRDefault="00AE1A21">
      <w:r>
        <w:continuationSeparator/>
      </w:r>
    </w:p>
  </w:footnote>
  <w:footnote w:id="1">
    <w:p w:rsidR="003B6124" w:rsidRPr="003B6124" w:rsidRDefault="003B6124" w:rsidP="008E7B04">
      <w:pPr>
        <w:pStyle w:val="Funotentext"/>
        <w:jc w:val="both"/>
        <w:rPr>
          <w:lang w:val="hr-HR"/>
        </w:rPr>
      </w:pPr>
      <w:r w:rsidRPr="003B6124">
        <w:rPr>
          <w:rStyle w:val="Funotenzeichen"/>
        </w:rPr>
        <w:sym w:font="Symbol" w:char="F02A"/>
      </w:r>
      <w:r>
        <w:rPr>
          <w:lang w:val="hr-HR"/>
        </w:rPr>
        <w:t>Au</w:t>
      </w:r>
      <w:r w:rsidR="000E1231">
        <w:rPr>
          <w:lang w:val="hr-HR"/>
        </w:rPr>
        <w:t>t</w:t>
      </w:r>
      <w:r>
        <w:rPr>
          <w:lang w:val="hr-HR"/>
        </w:rPr>
        <w:t>or</w:t>
      </w:r>
      <w:r w:rsidR="008E7B04">
        <w:rPr>
          <w:lang w:val="hr-HR"/>
        </w:rPr>
        <w:t>i</w:t>
      </w:r>
      <w:r>
        <w:rPr>
          <w:lang w:val="hr-HR"/>
        </w:rPr>
        <w:t xml:space="preserve"> </w:t>
      </w:r>
      <w:r w:rsidR="008E7B04">
        <w:rPr>
          <w:lang w:val="hr-HR"/>
        </w:rPr>
        <w:t>su Alena Kurspahić Nadarević, glavna disciplinska tužiteljica i</w:t>
      </w:r>
      <w:r w:rsidR="000E1231">
        <w:rPr>
          <w:lang w:val="hr-HR"/>
        </w:rPr>
        <w:t xml:space="preserve"> Mirza H.Omerović</w:t>
      </w:r>
      <w:r w:rsidR="00BE2D37">
        <w:rPr>
          <w:lang w:val="hr-HR"/>
        </w:rPr>
        <w:t xml:space="preserve">, zamjenik glavnog </w:t>
      </w:r>
      <w:r w:rsidR="000A4D46" w:rsidRPr="000A4D46">
        <w:rPr>
          <w:lang w:val="hr-HR"/>
        </w:rPr>
        <w:t>disciplinsk</w:t>
      </w:r>
      <w:r w:rsidR="00BE2D37">
        <w:rPr>
          <w:lang w:val="hr-HR"/>
        </w:rPr>
        <w:t>og</w:t>
      </w:r>
      <w:r w:rsidR="00E16DD7">
        <w:rPr>
          <w:lang w:val="hr-HR"/>
        </w:rPr>
        <w:t xml:space="preserve"> </w:t>
      </w:r>
      <w:r w:rsidR="000A4D46" w:rsidRPr="000A4D46">
        <w:rPr>
          <w:lang w:val="hr-HR"/>
        </w:rPr>
        <w:t>tuži</w:t>
      </w:r>
      <w:r w:rsidR="00BE2D37">
        <w:rPr>
          <w:lang w:val="hr-HR"/>
        </w:rPr>
        <w:t>oca</w:t>
      </w:r>
      <w:r w:rsidR="000A4D46" w:rsidRPr="000A4D46">
        <w:rPr>
          <w:lang w:val="hr-HR"/>
        </w:rPr>
        <w:t xml:space="preserve"> u Uredu disciplinskog tužioca Visokog sudskog i tužilačkog vijeća Bosne i Hercegovine.</w:t>
      </w:r>
    </w:p>
  </w:footnote>
  <w:footnote w:id="2">
    <w:p w:rsidR="0094303B" w:rsidRDefault="0094303B" w:rsidP="0094303B">
      <w:pPr>
        <w:pStyle w:val="Funotentext"/>
        <w:jc w:val="both"/>
      </w:pPr>
      <w:r>
        <w:rPr>
          <w:rStyle w:val="Funotenzeichen"/>
        </w:rPr>
        <w:footnoteRef/>
      </w:r>
      <w:r>
        <w:t xml:space="preserve"> </w:t>
      </w:r>
      <w:r w:rsidR="004D2256" w:rsidRPr="005034C4">
        <w:t>Američki sudija, Anthony Kennedy, jednom je izjavio da „sudijska nezavisnost nije utvrđena da bi sudije radile što žele“, nego da bi „sudije uradile ono što moraju“.</w:t>
      </w:r>
      <w:r>
        <w:t>W.</w:t>
      </w:r>
      <w:r w:rsidRPr="00F64301">
        <w:t xml:space="preserve"> </w:t>
      </w:r>
      <w:r>
        <w:t>C</w:t>
      </w:r>
      <w:r w:rsidRPr="00F64301">
        <w:t xml:space="preserve">. </w:t>
      </w:r>
      <w:r>
        <w:t>Hu</w:t>
      </w:r>
      <w:r w:rsidRPr="00F64301">
        <w:t>bbard</w:t>
      </w:r>
      <w:r>
        <w:t xml:space="preserve">, </w:t>
      </w:r>
      <w:r w:rsidRPr="00F64301">
        <w:t xml:space="preserve">The organized bar must address attacks on </w:t>
      </w:r>
      <w:r w:rsidRPr="00F64301">
        <w:t>the judiciary</w:t>
      </w:r>
      <w:r>
        <w:t>“ ABA, 31.</w:t>
      </w:r>
      <w:r w:rsidR="00AA579D">
        <w:t xml:space="preserve"> </w:t>
      </w:r>
      <w:r>
        <w:t>05. 2018.</w:t>
      </w:r>
      <w:r w:rsidR="004D2256">
        <w:t xml:space="preserve"> </w:t>
      </w:r>
      <w:r w:rsidRPr="00F64301">
        <w:t>https://www.abajournal.com/news/article/the_</w:t>
      </w:r>
      <w:r w:rsidR="004D2256">
        <w:softHyphen/>
      </w:r>
      <w:r w:rsidRPr="00F64301">
        <w:t>organized_bar_must_address_attacks_on_the_judiciary</w:t>
      </w:r>
    </w:p>
  </w:footnote>
  <w:footnote w:id="3">
    <w:p w:rsidR="005810A3" w:rsidRDefault="005810A3">
      <w:pPr>
        <w:pStyle w:val="Funotentext"/>
      </w:pPr>
      <w:r>
        <w:rPr>
          <w:rStyle w:val="Funotenzeichen"/>
        </w:rPr>
        <w:footnoteRef/>
      </w:r>
      <w:r>
        <w:t xml:space="preserve"> Dostupn</w:t>
      </w:r>
      <w:r w:rsidR="00395EA6">
        <w:t>a</w:t>
      </w:r>
      <w:r>
        <w:t xml:space="preserve"> na web stranici: </w:t>
      </w:r>
      <w:r w:rsidRPr="005810A3">
        <w:t>https://rm.coe.int/CoERMPublicCommonSearchServices/Display</w:t>
      </w:r>
      <w:r w:rsidR="002672AD">
        <w:softHyphen/>
      </w:r>
      <w:r w:rsidRPr="005810A3">
        <w:t>DCTMContent?documentId=09000016804be55a</w:t>
      </w:r>
      <w:r w:rsidR="00C76242">
        <w:t>.</w:t>
      </w:r>
    </w:p>
  </w:footnote>
  <w:footnote w:id="4">
    <w:p w:rsidR="00370F8E" w:rsidRDefault="00370F8E" w:rsidP="008E7B04">
      <w:pPr>
        <w:pStyle w:val="Funotentext"/>
        <w:jc w:val="both"/>
      </w:pPr>
      <w:r>
        <w:rPr>
          <w:rStyle w:val="Funotenzeichen"/>
        </w:rPr>
        <w:footnoteRef/>
      </w:r>
      <w:r>
        <w:t xml:space="preserve"> </w:t>
      </w:r>
      <w:r w:rsidRPr="00370F8E">
        <w:rPr>
          <w:i/>
          <w:iCs/>
        </w:rPr>
        <w:t>Sl.</w:t>
      </w:r>
      <w:r w:rsidR="00AA579D">
        <w:rPr>
          <w:i/>
          <w:iCs/>
        </w:rPr>
        <w:t xml:space="preserve"> </w:t>
      </w:r>
      <w:r w:rsidRPr="00370F8E">
        <w:rPr>
          <w:i/>
          <w:iCs/>
        </w:rPr>
        <w:t>gl.</w:t>
      </w:r>
      <w:r w:rsidR="00AA579D">
        <w:rPr>
          <w:i/>
          <w:iCs/>
        </w:rPr>
        <w:t xml:space="preserve"> </w:t>
      </w:r>
      <w:r w:rsidRPr="00370F8E">
        <w:rPr>
          <w:i/>
          <w:iCs/>
        </w:rPr>
        <w:t>BiH</w:t>
      </w:r>
      <w:r>
        <w:t xml:space="preserve"> 25/04, 93/05, 48/07</w:t>
      </w:r>
      <w:r w:rsidR="008E7B04">
        <w:t xml:space="preserve">, </w:t>
      </w:r>
      <w:r>
        <w:t>15/08</w:t>
      </w:r>
      <w:r w:rsidR="00352947">
        <w:t>.</w:t>
      </w:r>
    </w:p>
  </w:footnote>
  <w:footnote w:id="5">
    <w:p w:rsidR="004E0C98" w:rsidRDefault="004E0C98" w:rsidP="00387723">
      <w:pPr>
        <w:pStyle w:val="Funotentext"/>
        <w:jc w:val="both"/>
      </w:pPr>
      <w:r>
        <w:rPr>
          <w:rStyle w:val="Funotenzeichen"/>
        </w:rPr>
        <w:footnoteRef/>
      </w:r>
      <w:r>
        <w:t xml:space="preserve"> </w:t>
      </w:r>
      <w:r w:rsidR="00B10B11">
        <w:t>Npr. Zakonom o parničnom postupku FBiH (</w:t>
      </w:r>
      <w:r w:rsidR="00B10B11" w:rsidRPr="00B10B11">
        <w:rPr>
          <w:i/>
          <w:iCs/>
        </w:rPr>
        <w:t>Sl.</w:t>
      </w:r>
      <w:r w:rsidR="00352947">
        <w:rPr>
          <w:i/>
          <w:iCs/>
        </w:rPr>
        <w:t xml:space="preserve"> </w:t>
      </w:r>
      <w:r w:rsidR="00B10B11" w:rsidRPr="00B10B11">
        <w:rPr>
          <w:i/>
          <w:iCs/>
        </w:rPr>
        <w:t>n.</w:t>
      </w:r>
      <w:r w:rsidR="00352947">
        <w:rPr>
          <w:i/>
          <w:iCs/>
        </w:rPr>
        <w:t xml:space="preserve"> </w:t>
      </w:r>
      <w:r w:rsidR="00B10B11" w:rsidRPr="00B10B11">
        <w:rPr>
          <w:i/>
          <w:iCs/>
        </w:rPr>
        <w:t>FBiH</w:t>
      </w:r>
      <w:r w:rsidR="00B10B11">
        <w:t xml:space="preserve"> </w:t>
      </w:r>
      <w:r w:rsidR="00B10B11" w:rsidRPr="00B10B11">
        <w:t>53/03, 73/05, 19/06</w:t>
      </w:r>
      <w:r w:rsidR="0006747A">
        <w:t xml:space="preserve">, </w:t>
      </w:r>
      <w:r w:rsidR="00B10B11" w:rsidRPr="00B10B11">
        <w:t>98/15</w:t>
      </w:r>
      <w:r w:rsidR="00B10B11">
        <w:t xml:space="preserve">), </w:t>
      </w:r>
      <w:bookmarkStart w:id="2" w:name="_Hlk113714637"/>
      <w:r w:rsidR="00B10B11">
        <w:t>čl. 357 st. 1 tačka 4)</w:t>
      </w:r>
      <w:bookmarkEnd w:id="2"/>
      <w:r w:rsidR="00B10B11">
        <w:t xml:space="preserve"> propisano je da sudija ne može vršiti dužnost ukoliko „</w:t>
      </w:r>
      <w:r w:rsidR="00B10B11" w:rsidRPr="005511C2">
        <w:rPr>
          <w:i/>
          <w:iCs/>
        </w:rPr>
        <w:t>između sudije i stranke teče neka druga parnica</w:t>
      </w:r>
      <w:r w:rsidR="00B10B11">
        <w:t xml:space="preserve">“. U praksi su poznate zloupotrebe ovog </w:t>
      </w:r>
      <w:r w:rsidR="005511C2">
        <w:t>instituta</w:t>
      </w:r>
      <w:r w:rsidR="00B10B11">
        <w:t xml:space="preserve"> </w:t>
      </w:r>
      <w:r w:rsidR="000E4498">
        <w:t xml:space="preserve">podnošenjem tužbi protiv sudije kako bi bio isključen od daljeg postupanja u predmetu. Identičnu odredbu sadrži i </w:t>
      </w:r>
      <w:r w:rsidR="000E4498" w:rsidRPr="000E4498">
        <w:t>čl. 357 st. 1 tačka 4)</w:t>
      </w:r>
      <w:r w:rsidR="000E4498">
        <w:t xml:space="preserve"> </w:t>
      </w:r>
      <w:r w:rsidR="000E4498" w:rsidRPr="00667FE6">
        <w:t>Zakona o parničnom postupku RS (</w:t>
      </w:r>
      <w:r w:rsidR="00667FE6" w:rsidRPr="00667FE6">
        <w:rPr>
          <w:i/>
          <w:iCs/>
        </w:rPr>
        <w:t>Sl.</w:t>
      </w:r>
      <w:r w:rsidR="00352947">
        <w:rPr>
          <w:i/>
          <w:iCs/>
        </w:rPr>
        <w:t xml:space="preserve"> </w:t>
      </w:r>
      <w:r w:rsidR="00667FE6" w:rsidRPr="00667FE6">
        <w:rPr>
          <w:i/>
          <w:iCs/>
        </w:rPr>
        <w:t>gl.</w:t>
      </w:r>
      <w:r w:rsidR="00352947">
        <w:rPr>
          <w:i/>
          <w:iCs/>
        </w:rPr>
        <w:t xml:space="preserve"> </w:t>
      </w:r>
      <w:r w:rsidR="00667FE6" w:rsidRPr="00667FE6">
        <w:rPr>
          <w:i/>
          <w:iCs/>
        </w:rPr>
        <w:t>RS</w:t>
      </w:r>
      <w:r w:rsidR="00667FE6" w:rsidRPr="00667FE6">
        <w:t xml:space="preserve"> 58/03, 85/03, 74/05, 63/07, 49/09</w:t>
      </w:r>
      <w:r w:rsidR="0006747A">
        <w:t xml:space="preserve">, </w:t>
      </w:r>
      <w:r w:rsidR="00667FE6" w:rsidRPr="00667FE6">
        <w:t>61/13</w:t>
      </w:r>
      <w:r w:rsidR="005511C2" w:rsidRPr="00667FE6">
        <w:t>)</w:t>
      </w:r>
      <w:r w:rsidR="00352947">
        <w:t>.</w:t>
      </w:r>
    </w:p>
  </w:footnote>
  <w:footnote w:id="6">
    <w:p w:rsidR="00387723" w:rsidRDefault="00387723" w:rsidP="00387723">
      <w:pPr>
        <w:pStyle w:val="Funotentext"/>
        <w:jc w:val="both"/>
      </w:pPr>
      <w:r>
        <w:rPr>
          <w:rStyle w:val="Funotenzeichen"/>
        </w:rPr>
        <w:footnoteRef/>
      </w:r>
      <w:r>
        <w:t xml:space="preserve"> Poglavlje IV Struktura federalne vlasti C. S</w:t>
      </w:r>
      <w:r w:rsidRPr="00463004">
        <w:t xml:space="preserve">udska vlast </w:t>
      </w:r>
      <w:r>
        <w:t>F</w:t>
      </w:r>
      <w:r w:rsidRPr="00463004">
        <w:t>ederacije</w:t>
      </w:r>
      <w:r>
        <w:t xml:space="preserve"> Ustava Federacije Bosne i Hercegovine čl. 5 st. 2 (</w:t>
      </w:r>
      <w:bookmarkStart w:id="3" w:name="_Hlk113310985"/>
      <w:r w:rsidRPr="009529F3">
        <w:rPr>
          <w:i/>
          <w:iCs/>
        </w:rPr>
        <w:t>Sl.</w:t>
      </w:r>
      <w:r w:rsidR="00352947">
        <w:rPr>
          <w:i/>
          <w:iCs/>
        </w:rPr>
        <w:t xml:space="preserve"> </w:t>
      </w:r>
      <w:r w:rsidRPr="009529F3">
        <w:rPr>
          <w:i/>
          <w:iCs/>
        </w:rPr>
        <w:t>n.</w:t>
      </w:r>
      <w:r w:rsidR="00352947">
        <w:rPr>
          <w:i/>
          <w:iCs/>
        </w:rPr>
        <w:t xml:space="preserve"> </w:t>
      </w:r>
      <w:r w:rsidRPr="009529F3">
        <w:rPr>
          <w:i/>
          <w:iCs/>
        </w:rPr>
        <w:t>FBiH</w:t>
      </w:r>
      <w:r>
        <w:t xml:space="preserve"> 1/</w:t>
      </w:r>
      <w:bookmarkEnd w:id="3"/>
      <w:r>
        <w:t>94, 13/97, 16/02, 22/02, 52/02, 63/03, 09/04, 20/04, 33/04, 71/5, 72/05, 88/08)</w:t>
      </w:r>
      <w:r w:rsidR="00352947">
        <w:t>.</w:t>
      </w:r>
    </w:p>
  </w:footnote>
  <w:footnote w:id="7">
    <w:p w:rsidR="001440D0" w:rsidRDefault="001440D0" w:rsidP="00387723">
      <w:pPr>
        <w:pStyle w:val="Funotentext"/>
        <w:jc w:val="both"/>
      </w:pPr>
      <w:r>
        <w:rPr>
          <w:rStyle w:val="Funotenzeichen"/>
        </w:rPr>
        <w:footnoteRef/>
      </w:r>
      <w:r>
        <w:t xml:space="preserve"> </w:t>
      </w:r>
      <w:r w:rsidR="009529F3">
        <w:t xml:space="preserve">Čl. </w:t>
      </w:r>
      <w:r w:rsidR="009529F3">
        <w:t xml:space="preserve">126 </w:t>
      </w:r>
      <w:r w:rsidR="009529F3">
        <w:t>Ustava Republike Srpske (</w:t>
      </w:r>
      <w:r w:rsidR="009529F3" w:rsidRPr="009529F3">
        <w:rPr>
          <w:i/>
          <w:iCs/>
        </w:rPr>
        <w:t>Sl.</w:t>
      </w:r>
      <w:r w:rsidR="006B0660">
        <w:rPr>
          <w:i/>
          <w:iCs/>
        </w:rPr>
        <w:t xml:space="preserve"> </w:t>
      </w:r>
      <w:r w:rsidR="009529F3" w:rsidRPr="009529F3">
        <w:rPr>
          <w:i/>
          <w:iCs/>
        </w:rPr>
        <w:t>gl.</w:t>
      </w:r>
      <w:r w:rsidR="006B0660">
        <w:rPr>
          <w:i/>
          <w:iCs/>
        </w:rPr>
        <w:t xml:space="preserve"> </w:t>
      </w:r>
      <w:r w:rsidR="009529F3" w:rsidRPr="009529F3">
        <w:rPr>
          <w:i/>
          <w:iCs/>
        </w:rPr>
        <w:t>RS</w:t>
      </w:r>
      <w:r w:rsidR="009529F3">
        <w:t xml:space="preserve"> 21/92, 28/94, 8/96, 13/96, 15/96, 16/96, 21/96, 21/02, 26/02, 30/02, 31/02, 69/02, 31/03, 98/03, 115/05, 117/05</w:t>
      </w:r>
      <w:r w:rsidR="009205AA">
        <w:t>)</w:t>
      </w:r>
      <w:r w:rsidR="00352947">
        <w:t>.</w:t>
      </w:r>
    </w:p>
  </w:footnote>
  <w:footnote w:id="8">
    <w:p w:rsidR="00743176" w:rsidRDefault="00743176" w:rsidP="00387723">
      <w:pPr>
        <w:pStyle w:val="Funotentext"/>
        <w:jc w:val="both"/>
      </w:pPr>
      <w:r>
        <w:rPr>
          <w:rStyle w:val="Funotenzeichen"/>
        </w:rPr>
        <w:footnoteRef/>
      </w:r>
      <w:r>
        <w:t xml:space="preserve"> Čl. 27 st. </w:t>
      </w:r>
      <w:r>
        <w:t xml:space="preserve">1 i 2 Zakona o </w:t>
      </w:r>
      <w:r>
        <w:t>Federalno</w:t>
      </w:r>
      <w:r w:rsidR="008F4A65">
        <w:t>m</w:t>
      </w:r>
      <w:r>
        <w:t xml:space="preserve"> tužilaštvu FBiH (</w:t>
      </w:r>
      <w:r w:rsidRPr="003D7EAC">
        <w:rPr>
          <w:i/>
          <w:iCs/>
        </w:rPr>
        <w:t>Sl.</w:t>
      </w:r>
      <w:r w:rsidR="006B0660">
        <w:rPr>
          <w:i/>
          <w:iCs/>
        </w:rPr>
        <w:t xml:space="preserve"> </w:t>
      </w:r>
      <w:r w:rsidRPr="003D7EAC">
        <w:rPr>
          <w:i/>
          <w:iCs/>
        </w:rPr>
        <w:t>n.</w:t>
      </w:r>
      <w:r w:rsidR="006B0660">
        <w:rPr>
          <w:i/>
          <w:iCs/>
        </w:rPr>
        <w:t xml:space="preserve"> </w:t>
      </w:r>
      <w:r w:rsidRPr="003D7EAC">
        <w:rPr>
          <w:i/>
          <w:iCs/>
        </w:rPr>
        <w:t>FBiH</w:t>
      </w:r>
      <w:r w:rsidRPr="00743176">
        <w:t xml:space="preserve"> 1</w:t>
      </w:r>
      <w:r>
        <w:t xml:space="preserve">9/03) </w:t>
      </w:r>
      <w:r w:rsidR="004F5056">
        <w:t xml:space="preserve">i </w:t>
      </w:r>
      <w:r w:rsidR="008F4A65">
        <w:t xml:space="preserve">čl. 30 st. 1 i 2 </w:t>
      </w:r>
      <w:bookmarkStart w:id="4" w:name="_Hlk113311826"/>
      <w:r w:rsidR="008F4A65">
        <w:t>Zakona o tužilaštvima RS</w:t>
      </w:r>
      <w:bookmarkEnd w:id="4"/>
      <w:r w:rsidR="008F4A65">
        <w:t xml:space="preserve"> (</w:t>
      </w:r>
      <w:r w:rsidR="008F4A65" w:rsidRPr="004F5056">
        <w:rPr>
          <w:i/>
          <w:iCs/>
        </w:rPr>
        <w:t>Sl.</w:t>
      </w:r>
      <w:r w:rsidR="00352947">
        <w:rPr>
          <w:i/>
          <w:iCs/>
        </w:rPr>
        <w:t xml:space="preserve"> </w:t>
      </w:r>
      <w:r w:rsidR="008F4A65" w:rsidRPr="004F5056">
        <w:rPr>
          <w:i/>
          <w:iCs/>
        </w:rPr>
        <w:t>gl.</w:t>
      </w:r>
      <w:r w:rsidR="00352947">
        <w:rPr>
          <w:i/>
          <w:iCs/>
        </w:rPr>
        <w:t xml:space="preserve"> </w:t>
      </w:r>
      <w:r w:rsidR="008F4A65" w:rsidRPr="004F5056">
        <w:rPr>
          <w:i/>
          <w:iCs/>
        </w:rPr>
        <w:t>RS</w:t>
      </w:r>
      <w:r w:rsidR="008F4A65">
        <w:t xml:space="preserve"> </w:t>
      </w:r>
      <w:r w:rsidR="008F4A65" w:rsidRPr="004F5056">
        <w:t>55/02, 85/03, 115/03, 37/06</w:t>
      </w:r>
      <w:r w:rsidR="0006747A">
        <w:t>,</w:t>
      </w:r>
      <w:r w:rsidR="008F4A65" w:rsidRPr="004F5056">
        <w:t xml:space="preserve"> 68/07</w:t>
      </w:r>
      <w:r w:rsidR="008F4A65">
        <w:t>)</w:t>
      </w:r>
      <w:r w:rsidR="00352947">
        <w:t>.</w:t>
      </w:r>
    </w:p>
  </w:footnote>
  <w:footnote w:id="9">
    <w:p w:rsidR="001704BB" w:rsidRDefault="001704BB" w:rsidP="00387723">
      <w:pPr>
        <w:pStyle w:val="Funotentext"/>
        <w:jc w:val="both"/>
      </w:pPr>
      <w:r>
        <w:rPr>
          <w:rStyle w:val="Funotenzeichen"/>
        </w:rPr>
        <w:footnoteRef/>
      </w:r>
      <w:r>
        <w:t xml:space="preserve"> Čl. 26 Zakona o </w:t>
      </w:r>
      <w:bookmarkStart w:id="5" w:name="_Hlk113713006"/>
      <w:r>
        <w:t>Federalnom tužilaštvu FBiH</w:t>
      </w:r>
      <w:bookmarkEnd w:id="5"/>
      <w:r>
        <w:t xml:space="preserve"> i čl. 29 </w:t>
      </w:r>
      <w:r w:rsidRPr="001704BB">
        <w:t>Zakona o tužilaštvima RS</w:t>
      </w:r>
      <w:r w:rsidR="000E28C0">
        <w:t xml:space="preserve"> (bilj. 7)</w:t>
      </w:r>
      <w:r w:rsidR="00352947">
        <w:t>.</w:t>
      </w:r>
    </w:p>
  </w:footnote>
  <w:footnote w:id="10">
    <w:p w:rsidR="002953EE" w:rsidRDefault="002953EE" w:rsidP="00387723">
      <w:pPr>
        <w:pStyle w:val="Funotentext"/>
        <w:jc w:val="both"/>
      </w:pPr>
      <w:r>
        <w:rPr>
          <w:rStyle w:val="Funotenzeichen"/>
        </w:rPr>
        <w:footnoteRef/>
      </w:r>
      <w:r>
        <w:t xml:space="preserve"> Čl. 9 st. 1 Zakona o </w:t>
      </w:r>
      <w:r w:rsidRPr="002953EE">
        <w:t>Federalnom tužilaštvu FBiH</w:t>
      </w:r>
      <w:r>
        <w:t xml:space="preserve"> i čl. 9 st. 1 Zakona o tužilaštvima RS</w:t>
      </w:r>
      <w:r w:rsidR="000E28C0">
        <w:t xml:space="preserve"> (Bilj. 7)</w:t>
      </w:r>
      <w:r w:rsidR="0033273B">
        <w:t>.</w:t>
      </w:r>
    </w:p>
  </w:footnote>
  <w:footnote w:id="11">
    <w:p w:rsidR="001704BB" w:rsidRDefault="001704BB" w:rsidP="00387723">
      <w:pPr>
        <w:pStyle w:val="Funotentext"/>
        <w:jc w:val="both"/>
      </w:pPr>
      <w:r>
        <w:rPr>
          <w:rStyle w:val="Funotenzeichen"/>
        </w:rPr>
        <w:footnoteRef/>
      </w:r>
      <w:r w:rsidR="000E28C0">
        <w:rPr>
          <w:i/>
          <w:iCs/>
        </w:rPr>
        <w:t xml:space="preserve"> </w:t>
      </w:r>
      <w:r w:rsidRPr="0099744E">
        <w:rPr>
          <w:i/>
          <w:iCs/>
        </w:rPr>
        <w:t>Sl.gl.BiH 49/09</w:t>
      </w:r>
      <w:r>
        <w:t xml:space="preserve"> – prečišćeni tekst</w:t>
      </w:r>
    </w:p>
  </w:footnote>
  <w:footnote w:id="12">
    <w:p w:rsidR="002C4E22" w:rsidRDefault="002C4E22" w:rsidP="00067BE0">
      <w:pPr>
        <w:pStyle w:val="Funotentext"/>
        <w:jc w:val="both"/>
      </w:pPr>
      <w:r>
        <w:rPr>
          <w:rStyle w:val="Funotenzeichen"/>
        </w:rPr>
        <w:footnoteRef/>
      </w:r>
      <w:r w:rsidR="000E28C0">
        <w:t xml:space="preserve"> </w:t>
      </w:r>
      <w:r w:rsidR="002F76D1">
        <w:t>Interesantno je spomenuti da je jedino Krivičnim zakonikom RS (</w:t>
      </w:r>
      <w:r w:rsidR="002F76D1" w:rsidRPr="002F76D1">
        <w:rPr>
          <w:i/>
          <w:iCs/>
        </w:rPr>
        <w:t>Sl.</w:t>
      </w:r>
      <w:r w:rsidR="00B3635F">
        <w:rPr>
          <w:i/>
          <w:iCs/>
        </w:rPr>
        <w:t xml:space="preserve"> </w:t>
      </w:r>
      <w:r w:rsidR="002F76D1" w:rsidRPr="002F76D1">
        <w:rPr>
          <w:i/>
          <w:iCs/>
        </w:rPr>
        <w:t>gl.</w:t>
      </w:r>
      <w:r w:rsidR="00B3635F">
        <w:rPr>
          <w:i/>
          <w:iCs/>
        </w:rPr>
        <w:t xml:space="preserve"> </w:t>
      </w:r>
      <w:r w:rsidR="002F76D1" w:rsidRPr="002F76D1">
        <w:rPr>
          <w:i/>
          <w:iCs/>
        </w:rPr>
        <w:t>R</w:t>
      </w:r>
      <w:r w:rsidR="002F76D1">
        <w:t>S</w:t>
      </w:r>
      <w:r w:rsidR="002F76D1" w:rsidRPr="002F76D1">
        <w:t xml:space="preserve"> 64/17, 104/18</w:t>
      </w:r>
      <w:r w:rsidR="002F76D1">
        <w:t xml:space="preserve">, </w:t>
      </w:r>
      <w:r w:rsidR="002F76D1" w:rsidRPr="002F76D1">
        <w:t>15/21</w:t>
      </w:r>
      <w:r w:rsidR="002F76D1">
        <w:t xml:space="preserve">) propisano i krivično djelo tužilaca – čl. 346 – povreda </w:t>
      </w:r>
      <w:r w:rsidR="002F76D1" w:rsidRPr="002F76D1">
        <w:t>zakona od strane sudije ili javnog tužioca</w:t>
      </w:r>
      <w:r w:rsidR="00F83DFF">
        <w:t>.</w:t>
      </w:r>
    </w:p>
  </w:footnote>
  <w:footnote w:id="13">
    <w:p w:rsidR="00083E9F" w:rsidRDefault="00083E9F" w:rsidP="00067BE0">
      <w:pPr>
        <w:pStyle w:val="Funotentext"/>
      </w:pPr>
      <w:r w:rsidRPr="00F3297C">
        <w:rPr>
          <w:rStyle w:val="Funotenzeichen"/>
        </w:rPr>
        <w:footnoteRef/>
      </w:r>
      <w:r w:rsidR="000E28C0">
        <w:t xml:space="preserve"> </w:t>
      </w:r>
      <w:r w:rsidR="00BB7B6D" w:rsidRPr="00F3297C">
        <w:t xml:space="preserve">Dostupan je na web stranici Parlamentarne skupštine BiH: </w:t>
      </w:r>
      <w:hyperlink r:id="rId1" w:history="1">
        <w:r w:rsidR="00F729BB" w:rsidRPr="00397C7C">
          <w:rPr>
            <w:rStyle w:val="Hyperlink"/>
          </w:rPr>
          <w:t>https://www.parlament.ba/olaw/OLaw</w:t>
        </w:r>
        <w:r w:rsidR="00F729BB" w:rsidRPr="00397C7C">
          <w:rPr>
            <w:rStyle w:val="Hyperlink"/>
          </w:rPr>
          <w:softHyphen/>
          <w:t>Details?lawId=92598</w:t>
        </w:r>
      </w:hyperlink>
      <w:r w:rsidR="000E28C0">
        <w:rPr>
          <w:rStyle w:val="Hyperlink"/>
        </w:rPr>
        <w:t>.</w:t>
      </w:r>
    </w:p>
  </w:footnote>
  <w:footnote w:id="14">
    <w:p w:rsidR="00AD6228" w:rsidRDefault="00AD6228">
      <w:pPr>
        <w:pStyle w:val="Funotentext"/>
      </w:pPr>
      <w:r>
        <w:rPr>
          <w:rStyle w:val="Funotenzeichen"/>
        </w:rPr>
        <w:footnoteRef/>
      </w:r>
      <w:r>
        <w:t xml:space="preserve"> Svi </w:t>
      </w:r>
      <w:r>
        <w:t xml:space="preserve">citati su preuzeti </w:t>
      </w:r>
      <w:bookmarkStart w:id="7" w:name="_GoBack"/>
      <w:bookmarkEnd w:id="7"/>
      <w:r>
        <w:t xml:space="preserve">bez ispravljanja stilskih i jezičkih pogreški. </w:t>
      </w:r>
    </w:p>
  </w:footnote>
  <w:footnote w:id="15">
    <w:p w:rsidR="00A82029" w:rsidRDefault="00A82029" w:rsidP="00A82029">
      <w:pPr>
        <w:pStyle w:val="Funotentext"/>
      </w:pPr>
      <w:r>
        <w:rPr>
          <w:rStyle w:val="Funotenzeichen"/>
        </w:rPr>
        <w:footnoteRef/>
      </w:r>
      <w:r>
        <w:t xml:space="preserve"> Dostupnom na linku: </w:t>
      </w:r>
      <w:r w:rsidRPr="006C26CD">
        <w:t>https://europa.ba/wp-content/uploads/2019/12/Izvje%C5%A1taj-stru%C4%8Dnjaka-o-pitanjima-vladavine-prava-u-BiH.pdf</w:t>
      </w:r>
      <w:r w:rsidR="00F729B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B8E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573C4"/>
    <w:multiLevelType w:val="hybridMultilevel"/>
    <w:tmpl w:val="F0DCE086"/>
    <w:lvl w:ilvl="0" w:tplc="7F0A418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4AA17BD"/>
    <w:multiLevelType w:val="hybridMultilevel"/>
    <w:tmpl w:val="C4C09F66"/>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F7155A"/>
    <w:multiLevelType w:val="multilevel"/>
    <w:tmpl w:val="3EBC0086"/>
    <w:lvl w:ilvl="0">
      <w:start w:val="1"/>
      <w:numFmt w:val="decimal"/>
      <w:suff w:val="space"/>
      <w:lvlText w:val="%1."/>
      <w:lvlJc w:val="left"/>
      <w:pPr>
        <w:ind w:left="720" w:hanging="72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1996" w:hanging="1996"/>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F2DE5"/>
    <w:multiLevelType w:val="hybridMultilevel"/>
    <w:tmpl w:val="22BCE7DE"/>
    <w:lvl w:ilvl="0" w:tplc="D1C4F924">
      <w:start w:val="1"/>
      <w:numFmt w:val="decimal"/>
      <w:lvlText w:val="%1."/>
      <w:lvlJc w:val="left"/>
      <w:pPr>
        <w:tabs>
          <w:tab w:val="num" w:pos="360"/>
        </w:tabs>
        <w:ind w:left="360" w:hanging="360"/>
      </w:pPr>
      <w:rPr>
        <w:rFonts w:hint="default"/>
        <w:b w:val="0"/>
        <w:i w:val="0"/>
      </w:rPr>
    </w:lvl>
    <w:lvl w:ilvl="1" w:tplc="62CEEF84">
      <w:start w:val="1"/>
      <w:numFmt w:val="upperRoman"/>
      <w:lvlText w:val="%2."/>
      <w:lvlJc w:val="left"/>
      <w:pPr>
        <w:tabs>
          <w:tab w:val="num" w:pos="1800"/>
        </w:tabs>
        <w:ind w:left="1800" w:hanging="720"/>
      </w:pPr>
      <w:rPr>
        <w:rFonts w:hint="default"/>
      </w:rPr>
    </w:lvl>
    <w:lvl w:ilvl="2" w:tplc="D2DA8874">
      <w:start w:val="1"/>
      <w:numFmt w:val="lowerLetter"/>
      <w:lvlText w:val="%3)"/>
      <w:lvlJc w:val="left"/>
      <w:pPr>
        <w:tabs>
          <w:tab w:val="num" w:pos="2340"/>
        </w:tabs>
        <w:ind w:left="2340" w:hanging="360"/>
      </w:pPr>
      <w:rPr>
        <w:rFonts w:hint="default"/>
      </w:rPr>
    </w:lvl>
    <w:lvl w:ilvl="3" w:tplc="091CD4EC">
      <w:start w:val="1"/>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3163D"/>
    <w:multiLevelType w:val="multilevel"/>
    <w:tmpl w:val="42B6955C"/>
    <w:lvl w:ilvl="0">
      <w:start w:val="1"/>
      <w:numFmt w:val="decimal"/>
      <w:suff w:val="space"/>
      <w:lvlText w:val="%1."/>
      <w:lvlJc w:val="left"/>
      <w:pPr>
        <w:ind w:left="720" w:hanging="720"/>
      </w:pPr>
      <w:rPr>
        <w:rFonts w:hint="default"/>
      </w:rPr>
    </w:lvl>
    <w:lvl w:ilvl="1">
      <w:start w:val="1"/>
      <w:numFmt w:val="decimal"/>
      <w:isLgl/>
      <w:suff w:val="space"/>
      <w:lvlText w:val="%1.%2."/>
      <w:lvlJc w:val="left"/>
      <w:pPr>
        <w:ind w:left="0" w:firstLine="357"/>
      </w:pPr>
      <w:rPr>
        <w:rFonts w:hint="default"/>
      </w:rPr>
    </w:lvl>
    <w:lvl w:ilvl="2">
      <w:start w:val="1"/>
      <w:numFmt w:val="decimal"/>
      <w:isLgl/>
      <w:suff w:val="space"/>
      <w:lvlText w:val="%1.%2.%3."/>
      <w:lvlJc w:val="left"/>
      <w:pPr>
        <w:ind w:left="1996" w:hanging="1282"/>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A590CDE"/>
    <w:multiLevelType w:val="hybridMultilevel"/>
    <w:tmpl w:val="9BAC8CBE"/>
    <w:lvl w:ilvl="0" w:tplc="442A8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20BD1"/>
    <w:multiLevelType w:val="hybridMultilevel"/>
    <w:tmpl w:val="4B1E134A"/>
    <w:lvl w:ilvl="0" w:tplc="8EA856A4">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83EA8"/>
    <w:multiLevelType w:val="hybridMultilevel"/>
    <w:tmpl w:val="9042CDD2"/>
    <w:lvl w:ilvl="0" w:tplc="363CF278">
      <w:start w:val="1"/>
      <w:numFmt w:val="decimal"/>
      <w:lvlText w:val="%1."/>
      <w:lvlJc w:val="left"/>
      <w:pPr>
        <w:tabs>
          <w:tab w:val="num" w:pos="1440"/>
        </w:tabs>
        <w:ind w:left="1440" w:hanging="360"/>
      </w:pPr>
      <w:rPr>
        <w:rFonts w:hint="default"/>
      </w:rPr>
    </w:lvl>
    <w:lvl w:ilvl="1" w:tplc="AC8E39BE">
      <w:start w:val="2"/>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DF7EEF"/>
    <w:multiLevelType w:val="hybridMultilevel"/>
    <w:tmpl w:val="772647D0"/>
    <w:lvl w:ilvl="0" w:tplc="4DF64C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952F36"/>
    <w:multiLevelType w:val="hybridMultilevel"/>
    <w:tmpl w:val="BBE0FD0A"/>
    <w:lvl w:ilvl="0" w:tplc="7F0A418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4F6D559C"/>
    <w:multiLevelType w:val="hybridMultilevel"/>
    <w:tmpl w:val="861454DE"/>
    <w:lvl w:ilvl="0" w:tplc="A6C69062">
      <w:start w:val="1"/>
      <w:numFmt w:val="decimal"/>
      <w:pStyle w:val="Paragraph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9D72A1"/>
    <w:multiLevelType w:val="hybridMultilevel"/>
    <w:tmpl w:val="80A6BEC6"/>
    <w:lvl w:ilvl="0" w:tplc="04090017">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227F83"/>
    <w:multiLevelType w:val="hybridMultilevel"/>
    <w:tmpl w:val="4F40BD9E"/>
    <w:lvl w:ilvl="0" w:tplc="7F0A418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670D2FD1"/>
    <w:multiLevelType w:val="hybridMultilevel"/>
    <w:tmpl w:val="34CAA074"/>
    <w:lvl w:ilvl="0" w:tplc="A4E6BDC0">
      <w:start w:val="1"/>
      <w:numFmt w:val="lowerLetter"/>
      <w:lvlText w:val="%1)"/>
      <w:lvlJc w:val="left"/>
      <w:pPr>
        <w:tabs>
          <w:tab w:val="num" w:pos="720"/>
        </w:tabs>
        <w:ind w:left="720" w:hanging="360"/>
      </w:pPr>
      <w:rPr>
        <w:rFonts w:hint="default"/>
        <w:b/>
      </w:rPr>
    </w:lvl>
    <w:lvl w:ilvl="1" w:tplc="3AF8B58A"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5A873A2"/>
    <w:multiLevelType w:val="hybridMultilevel"/>
    <w:tmpl w:val="4970C7E4"/>
    <w:lvl w:ilvl="0" w:tplc="1F4629C8">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E168EF"/>
    <w:multiLevelType w:val="hybridMultilevel"/>
    <w:tmpl w:val="ADD41B90"/>
    <w:lvl w:ilvl="0" w:tplc="141A000F">
      <w:start w:val="1"/>
      <w:numFmt w:val="decimal"/>
      <w:lvlText w:val="%1."/>
      <w:lvlJc w:val="left"/>
      <w:pPr>
        <w:ind w:left="2705" w:hanging="360"/>
      </w:pPr>
    </w:lvl>
    <w:lvl w:ilvl="1" w:tplc="141A0019" w:tentative="1">
      <w:start w:val="1"/>
      <w:numFmt w:val="lowerLetter"/>
      <w:lvlText w:val="%2."/>
      <w:lvlJc w:val="left"/>
      <w:pPr>
        <w:ind w:left="3425" w:hanging="360"/>
      </w:pPr>
    </w:lvl>
    <w:lvl w:ilvl="2" w:tplc="141A001B" w:tentative="1">
      <w:start w:val="1"/>
      <w:numFmt w:val="lowerRoman"/>
      <w:lvlText w:val="%3."/>
      <w:lvlJc w:val="right"/>
      <w:pPr>
        <w:ind w:left="4145" w:hanging="180"/>
      </w:pPr>
    </w:lvl>
    <w:lvl w:ilvl="3" w:tplc="141A000F" w:tentative="1">
      <w:start w:val="1"/>
      <w:numFmt w:val="decimal"/>
      <w:lvlText w:val="%4."/>
      <w:lvlJc w:val="left"/>
      <w:pPr>
        <w:ind w:left="4865" w:hanging="360"/>
      </w:pPr>
    </w:lvl>
    <w:lvl w:ilvl="4" w:tplc="141A0019" w:tentative="1">
      <w:start w:val="1"/>
      <w:numFmt w:val="lowerLetter"/>
      <w:lvlText w:val="%5."/>
      <w:lvlJc w:val="left"/>
      <w:pPr>
        <w:ind w:left="5585" w:hanging="360"/>
      </w:pPr>
    </w:lvl>
    <w:lvl w:ilvl="5" w:tplc="141A001B" w:tentative="1">
      <w:start w:val="1"/>
      <w:numFmt w:val="lowerRoman"/>
      <w:lvlText w:val="%6."/>
      <w:lvlJc w:val="right"/>
      <w:pPr>
        <w:ind w:left="6305" w:hanging="180"/>
      </w:pPr>
    </w:lvl>
    <w:lvl w:ilvl="6" w:tplc="141A000F" w:tentative="1">
      <w:start w:val="1"/>
      <w:numFmt w:val="decimal"/>
      <w:lvlText w:val="%7."/>
      <w:lvlJc w:val="left"/>
      <w:pPr>
        <w:ind w:left="7025" w:hanging="360"/>
      </w:pPr>
    </w:lvl>
    <w:lvl w:ilvl="7" w:tplc="141A0019" w:tentative="1">
      <w:start w:val="1"/>
      <w:numFmt w:val="lowerLetter"/>
      <w:lvlText w:val="%8."/>
      <w:lvlJc w:val="left"/>
      <w:pPr>
        <w:ind w:left="7745" w:hanging="360"/>
      </w:pPr>
    </w:lvl>
    <w:lvl w:ilvl="8" w:tplc="141A001B" w:tentative="1">
      <w:start w:val="1"/>
      <w:numFmt w:val="lowerRoman"/>
      <w:lvlText w:val="%9."/>
      <w:lvlJc w:val="right"/>
      <w:pPr>
        <w:ind w:left="8465" w:hanging="180"/>
      </w:pPr>
    </w:lvl>
  </w:abstractNum>
  <w:num w:numId="1">
    <w:abstractNumId w:val="15"/>
  </w:num>
  <w:num w:numId="2">
    <w:abstractNumId w:val="7"/>
  </w:num>
  <w:num w:numId="3">
    <w:abstractNumId w:val="8"/>
  </w:num>
  <w:num w:numId="4">
    <w:abstractNumId w:val="14"/>
  </w:num>
  <w:num w:numId="5">
    <w:abstractNumId w:val="6"/>
  </w:num>
  <w:num w:numId="6">
    <w:abstractNumId w:val="4"/>
  </w:num>
  <w:num w:numId="7">
    <w:abstractNumId w:val="9"/>
  </w:num>
  <w:num w:numId="8">
    <w:abstractNumId w:val="11"/>
  </w:num>
  <w:num w:numId="9">
    <w:abstractNumId w:val="2"/>
  </w:num>
  <w:num w:numId="10">
    <w:abstractNumId w:val="12"/>
  </w:num>
  <w:num w:numId="11">
    <w:abstractNumId w:val="16"/>
  </w:num>
  <w:num w:numId="12">
    <w:abstractNumId w:val="5"/>
  </w:num>
  <w:num w:numId="13">
    <w:abstractNumId w:val="0"/>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3"/>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F8"/>
    <w:rsid w:val="00000137"/>
    <w:rsid w:val="000135B1"/>
    <w:rsid w:val="00014413"/>
    <w:rsid w:val="000148C8"/>
    <w:rsid w:val="00022E9A"/>
    <w:rsid w:val="00023BCF"/>
    <w:rsid w:val="00024182"/>
    <w:rsid w:val="000272EC"/>
    <w:rsid w:val="00027E06"/>
    <w:rsid w:val="00031018"/>
    <w:rsid w:val="0003274E"/>
    <w:rsid w:val="000328F8"/>
    <w:rsid w:val="00032DEA"/>
    <w:rsid w:val="000346C8"/>
    <w:rsid w:val="000415BE"/>
    <w:rsid w:val="00044006"/>
    <w:rsid w:val="00044558"/>
    <w:rsid w:val="00051554"/>
    <w:rsid w:val="00051ECD"/>
    <w:rsid w:val="0005567C"/>
    <w:rsid w:val="0006233E"/>
    <w:rsid w:val="00065FCC"/>
    <w:rsid w:val="0006747A"/>
    <w:rsid w:val="0006777E"/>
    <w:rsid w:val="00067B85"/>
    <w:rsid w:val="00067BE0"/>
    <w:rsid w:val="0007545D"/>
    <w:rsid w:val="00077BCC"/>
    <w:rsid w:val="00080563"/>
    <w:rsid w:val="00082B17"/>
    <w:rsid w:val="000837E7"/>
    <w:rsid w:val="00083AE9"/>
    <w:rsid w:val="00083E9F"/>
    <w:rsid w:val="00084093"/>
    <w:rsid w:val="00087BF0"/>
    <w:rsid w:val="000900FB"/>
    <w:rsid w:val="0009032F"/>
    <w:rsid w:val="000906C1"/>
    <w:rsid w:val="000929B9"/>
    <w:rsid w:val="00094AB1"/>
    <w:rsid w:val="00094E5A"/>
    <w:rsid w:val="000962ED"/>
    <w:rsid w:val="000A0367"/>
    <w:rsid w:val="000A1397"/>
    <w:rsid w:val="000A3D18"/>
    <w:rsid w:val="000A4D46"/>
    <w:rsid w:val="000A5458"/>
    <w:rsid w:val="000A7CCE"/>
    <w:rsid w:val="000A7DAC"/>
    <w:rsid w:val="000B0CC1"/>
    <w:rsid w:val="000B1FA5"/>
    <w:rsid w:val="000B2A9F"/>
    <w:rsid w:val="000B39E3"/>
    <w:rsid w:val="000B5080"/>
    <w:rsid w:val="000C3CA0"/>
    <w:rsid w:val="000D0D0C"/>
    <w:rsid w:val="000D334A"/>
    <w:rsid w:val="000D3F52"/>
    <w:rsid w:val="000E1231"/>
    <w:rsid w:val="000E28C0"/>
    <w:rsid w:val="000E2E74"/>
    <w:rsid w:val="000E444F"/>
    <w:rsid w:val="000E4498"/>
    <w:rsid w:val="000F0409"/>
    <w:rsid w:val="000F46C2"/>
    <w:rsid w:val="000F524A"/>
    <w:rsid w:val="000F6C60"/>
    <w:rsid w:val="000F72DA"/>
    <w:rsid w:val="0010058E"/>
    <w:rsid w:val="0010206F"/>
    <w:rsid w:val="001022F8"/>
    <w:rsid w:val="0010290B"/>
    <w:rsid w:val="00103ABB"/>
    <w:rsid w:val="00106D2A"/>
    <w:rsid w:val="00106EFB"/>
    <w:rsid w:val="001104C5"/>
    <w:rsid w:val="00112F76"/>
    <w:rsid w:val="00113C2A"/>
    <w:rsid w:val="00114569"/>
    <w:rsid w:val="00117236"/>
    <w:rsid w:val="001203BD"/>
    <w:rsid w:val="00121027"/>
    <w:rsid w:val="00125D3F"/>
    <w:rsid w:val="0013029E"/>
    <w:rsid w:val="00130A50"/>
    <w:rsid w:val="00134610"/>
    <w:rsid w:val="00134A35"/>
    <w:rsid w:val="00141861"/>
    <w:rsid w:val="001440D0"/>
    <w:rsid w:val="0014617E"/>
    <w:rsid w:val="001504FD"/>
    <w:rsid w:val="00150C31"/>
    <w:rsid w:val="001519D8"/>
    <w:rsid w:val="00153916"/>
    <w:rsid w:val="00157E06"/>
    <w:rsid w:val="00161047"/>
    <w:rsid w:val="001666E0"/>
    <w:rsid w:val="001704BB"/>
    <w:rsid w:val="0017189E"/>
    <w:rsid w:val="001736D0"/>
    <w:rsid w:val="0017441B"/>
    <w:rsid w:val="00175556"/>
    <w:rsid w:val="001766B9"/>
    <w:rsid w:val="00177ED0"/>
    <w:rsid w:val="00183AC6"/>
    <w:rsid w:val="00184471"/>
    <w:rsid w:val="001911DA"/>
    <w:rsid w:val="00191204"/>
    <w:rsid w:val="001970F8"/>
    <w:rsid w:val="00197F35"/>
    <w:rsid w:val="001A0439"/>
    <w:rsid w:val="001A170A"/>
    <w:rsid w:val="001A4F3D"/>
    <w:rsid w:val="001A6E79"/>
    <w:rsid w:val="001A7FC3"/>
    <w:rsid w:val="001B1107"/>
    <w:rsid w:val="001C5CC5"/>
    <w:rsid w:val="001C7AA1"/>
    <w:rsid w:val="001D0605"/>
    <w:rsid w:val="001D2933"/>
    <w:rsid w:val="001D2C5D"/>
    <w:rsid w:val="001D5D0D"/>
    <w:rsid w:val="001D5D19"/>
    <w:rsid w:val="001D78B3"/>
    <w:rsid w:val="001E089C"/>
    <w:rsid w:val="001E146A"/>
    <w:rsid w:val="001E19F2"/>
    <w:rsid w:val="001E2E99"/>
    <w:rsid w:val="001E4D20"/>
    <w:rsid w:val="001E584B"/>
    <w:rsid w:val="001E591C"/>
    <w:rsid w:val="001E6AFF"/>
    <w:rsid w:val="001F148E"/>
    <w:rsid w:val="001F18E0"/>
    <w:rsid w:val="001F64B8"/>
    <w:rsid w:val="00200503"/>
    <w:rsid w:val="0020090C"/>
    <w:rsid w:val="00200C00"/>
    <w:rsid w:val="002024AB"/>
    <w:rsid w:val="00204570"/>
    <w:rsid w:val="0020508C"/>
    <w:rsid w:val="00206A3B"/>
    <w:rsid w:val="002155DC"/>
    <w:rsid w:val="00217EF3"/>
    <w:rsid w:val="002206CB"/>
    <w:rsid w:val="00227AFE"/>
    <w:rsid w:val="00231F4F"/>
    <w:rsid w:val="00233F66"/>
    <w:rsid w:val="00233FBF"/>
    <w:rsid w:val="00235A40"/>
    <w:rsid w:val="002371AB"/>
    <w:rsid w:val="0026412A"/>
    <w:rsid w:val="00265A1F"/>
    <w:rsid w:val="002672AD"/>
    <w:rsid w:val="002673BB"/>
    <w:rsid w:val="00272655"/>
    <w:rsid w:val="002732B2"/>
    <w:rsid w:val="00277570"/>
    <w:rsid w:val="0027782D"/>
    <w:rsid w:val="00282632"/>
    <w:rsid w:val="002841FA"/>
    <w:rsid w:val="00284C3E"/>
    <w:rsid w:val="0028573A"/>
    <w:rsid w:val="00285DD5"/>
    <w:rsid w:val="00286C2D"/>
    <w:rsid w:val="00287445"/>
    <w:rsid w:val="00292417"/>
    <w:rsid w:val="002949A4"/>
    <w:rsid w:val="002953EE"/>
    <w:rsid w:val="00297C59"/>
    <w:rsid w:val="002A4CD8"/>
    <w:rsid w:val="002B1F9A"/>
    <w:rsid w:val="002B51B0"/>
    <w:rsid w:val="002B5365"/>
    <w:rsid w:val="002B5539"/>
    <w:rsid w:val="002B631B"/>
    <w:rsid w:val="002B7F26"/>
    <w:rsid w:val="002C4E22"/>
    <w:rsid w:val="002C56FD"/>
    <w:rsid w:val="002C6D56"/>
    <w:rsid w:val="002C7893"/>
    <w:rsid w:val="002C7F8A"/>
    <w:rsid w:val="002D279B"/>
    <w:rsid w:val="002D310D"/>
    <w:rsid w:val="002D5BB1"/>
    <w:rsid w:val="002E1BE6"/>
    <w:rsid w:val="002E3F1B"/>
    <w:rsid w:val="002E50A1"/>
    <w:rsid w:val="002F334C"/>
    <w:rsid w:val="002F5789"/>
    <w:rsid w:val="002F6D8F"/>
    <w:rsid w:val="002F76D1"/>
    <w:rsid w:val="0030297D"/>
    <w:rsid w:val="00307470"/>
    <w:rsid w:val="00311D21"/>
    <w:rsid w:val="00312F56"/>
    <w:rsid w:val="003171A6"/>
    <w:rsid w:val="00317B8F"/>
    <w:rsid w:val="00322455"/>
    <w:rsid w:val="003323A4"/>
    <w:rsid w:val="00332678"/>
    <w:rsid w:val="0033273B"/>
    <w:rsid w:val="0033354B"/>
    <w:rsid w:val="00335CF4"/>
    <w:rsid w:val="003378FD"/>
    <w:rsid w:val="00337A61"/>
    <w:rsid w:val="00340D25"/>
    <w:rsid w:val="00341FFE"/>
    <w:rsid w:val="00342B9B"/>
    <w:rsid w:val="00343FB6"/>
    <w:rsid w:val="003451EA"/>
    <w:rsid w:val="003472D5"/>
    <w:rsid w:val="00347873"/>
    <w:rsid w:val="00350DB5"/>
    <w:rsid w:val="00352947"/>
    <w:rsid w:val="00354402"/>
    <w:rsid w:val="00355E60"/>
    <w:rsid w:val="003562D8"/>
    <w:rsid w:val="00357C26"/>
    <w:rsid w:val="003600F1"/>
    <w:rsid w:val="00362255"/>
    <w:rsid w:val="003630D8"/>
    <w:rsid w:val="003677CB"/>
    <w:rsid w:val="00367BA8"/>
    <w:rsid w:val="0037094A"/>
    <w:rsid w:val="00370B31"/>
    <w:rsid w:val="00370F8E"/>
    <w:rsid w:val="0037139F"/>
    <w:rsid w:val="00371EF6"/>
    <w:rsid w:val="00375EC6"/>
    <w:rsid w:val="00376CE7"/>
    <w:rsid w:val="00376D28"/>
    <w:rsid w:val="003775C7"/>
    <w:rsid w:val="003819EE"/>
    <w:rsid w:val="00385166"/>
    <w:rsid w:val="00387723"/>
    <w:rsid w:val="003879B8"/>
    <w:rsid w:val="00387C8E"/>
    <w:rsid w:val="00392F1C"/>
    <w:rsid w:val="00394293"/>
    <w:rsid w:val="00395EA6"/>
    <w:rsid w:val="003A20D3"/>
    <w:rsid w:val="003A56FF"/>
    <w:rsid w:val="003A5D7B"/>
    <w:rsid w:val="003B00C2"/>
    <w:rsid w:val="003B3DD8"/>
    <w:rsid w:val="003B6124"/>
    <w:rsid w:val="003B77C3"/>
    <w:rsid w:val="003C06E0"/>
    <w:rsid w:val="003C08EB"/>
    <w:rsid w:val="003C16D6"/>
    <w:rsid w:val="003C1C44"/>
    <w:rsid w:val="003C3C7C"/>
    <w:rsid w:val="003D492D"/>
    <w:rsid w:val="003D5A9D"/>
    <w:rsid w:val="003D788C"/>
    <w:rsid w:val="003D7EAC"/>
    <w:rsid w:val="003E0D49"/>
    <w:rsid w:val="003E2C3D"/>
    <w:rsid w:val="003E2DF4"/>
    <w:rsid w:val="003E4CBA"/>
    <w:rsid w:val="003E776F"/>
    <w:rsid w:val="003E78FE"/>
    <w:rsid w:val="003E7ADD"/>
    <w:rsid w:val="003E7DCF"/>
    <w:rsid w:val="003F767E"/>
    <w:rsid w:val="003F79FC"/>
    <w:rsid w:val="00401655"/>
    <w:rsid w:val="00401F5C"/>
    <w:rsid w:val="004037E0"/>
    <w:rsid w:val="00407802"/>
    <w:rsid w:val="00410EF8"/>
    <w:rsid w:val="00412EF5"/>
    <w:rsid w:val="00413D4D"/>
    <w:rsid w:val="00413F6F"/>
    <w:rsid w:val="0042034C"/>
    <w:rsid w:val="00420EAC"/>
    <w:rsid w:val="004232D8"/>
    <w:rsid w:val="004255B8"/>
    <w:rsid w:val="00426F4A"/>
    <w:rsid w:val="00427B17"/>
    <w:rsid w:val="00427FFA"/>
    <w:rsid w:val="0043179B"/>
    <w:rsid w:val="00431B2D"/>
    <w:rsid w:val="004326E3"/>
    <w:rsid w:val="004417E0"/>
    <w:rsid w:val="00442675"/>
    <w:rsid w:val="004438E3"/>
    <w:rsid w:val="00443F20"/>
    <w:rsid w:val="0044713A"/>
    <w:rsid w:val="00452F49"/>
    <w:rsid w:val="004544B8"/>
    <w:rsid w:val="0045773F"/>
    <w:rsid w:val="004603BB"/>
    <w:rsid w:val="00460900"/>
    <w:rsid w:val="00463004"/>
    <w:rsid w:val="0046710F"/>
    <w:rsid w:val="00467B06"/>
    <w:rsid w:val="00471ED1"/>
    <w:rsid w:val="004858C8"/>
    <w:rsid w:val="0048706E"/>
    <w:rsid w:val="004900E3"/>
    <w:rsid w:val="004920CD"/>
    <w:rsid w:val="00492A03"/>
    <w:rsid w:val="00492CC9"/>
    <w:rsid w:val="00493079"/>
    <w:rsid w:val="00496963"/>
    <w:rsid w:val="004A5C5D"/>
    <w:rsid w:val="004A61DE"/>
    <w:rsid w:val="004B1152"/>
    <w:rsid w:val="004B2B20"/>
    <w:rsid w:val="004B400C"/>
    <w:rsid w:val="004B6376"/>
    <w:rsid w:val="004B7355"/>
    <w:rsid w:val="004C4495"/>
    <w:rsid w:val="004C579B"/>
    <w:rsid w:val="004C6A37"/>
    <w:rsid w:val="004C6CD8"/>
    <w:rsid w:val="004C7FBF"/>
    <w:rsid w:val="004D2256"/>
    <w:rsid w:val="004D3764"/>
    <w:rsid w:val="004D5F6B"/>
    <w:rsid w:val="004E0C98"/>
    <w:rsid w:val="004E6A57"/>
    <w:rsid w:val="004E71B4"/>
    <w:rsid w:val="004F4AB8"/>
    <w:rsid w:val="004F5056"/>
    <w:rsid w:val="004F7D09"/>
    <w:rsid w:val="00501565"/>
    <w:rsid w:val="005034C4"/>
    <w:rsid w:val="00506FB2"/>
    <w:rsid w:val="00507A8A"/>
    <w:rsid w:val="00511CF0"/>
    <w:rsid w:val="00523BCD"/>
    <w:rsid w:val="005246BB"/>
    <w:rsid w:val="005308C0"/>
    <w:rsid w:val="00531762"/>
    <w:rsid w:val="0053637E"/>
    <w:rsid w:val="0053677F"/>
    <w:rsid w:val="00543BE3"/>
    <w:rsid w:val="005441C0"/>
    <w:rsid w:val="00547B24"/>
    <w:rsid w:val="005506BF"/>
    <w:rsid w:val="00550C26"/>
    <w:rsid w:val="005511C2"/>
    <w:rsid w:val="0055181A"/>
    <w:rsid w:val="0055351C"/>
    <w:rsid w:val="00556A69"/>
    <w:rsid w:val="005609F1"/>
    <w:rsid w:val="00560BC0"/>
    <w:rsid w:val="00561841"/>
    <w:rsid w:val="00563031"/>
    <w:rsid w:val="00564AE0"/>
    <w:rsid w:val="00565F93"/>
    <w:rsid w:val="005672E9"/>
    <w:rsid w:val="0057013B"/>
    <w:rsid w:val="00570715"/>
    <w:rsid w:val="0057408A"/>
    <w:rsid w:val="005810A3"/>
    <w:rsid w:val="00585ADA"/>
    <w:rsid w:val="005878E9"/>
    <w:rsid w:val="005909B3"/>
    <w:rsid w:val="005918E2"/>
    <w:rsid w:val="00591E10"/>
    <w:rsid w:val="005A4E44"/>
    <w:rsid w:val="005A5C52"/>
    <w:rsid w:val="005A7747"/>
    <w:rsid w:val="005B08F3"/>
    <w:rsid w:val="005B2D02"/>
    <w:rsid w:val="005B2D55"/>
    <w:rsid w:val="005B343C"/>
    <w:rsid w:val="005B4170"/>
    <w:rsid w:val="005C1FD7"/>
    <w:rsid w:val="005C5C97"/>
    <w:rsid w:val="005C604F"/>
    <w:rsid w:val="005C60D9"/>
    <w:rsid w:val="005C77EF"/>
    <w:rsid w:val="005D02BA"/>
    <w:rsid w:val="005D2179"/>
    <w:rsid w:val="005D4BE9"/>
    <w:rsid w:val="005E12BF"/>
    <w:rsid w:val="005F66EB"/>
    <w:rsid w:val="005F6E2B"/>
    <w:rsid w:val="005F7D74"/>
    <w:rsid w:val="0060014B"/>
    <w:rsid w:val="00600605"/>
    <w:rsid w:val="00600A01"/>
    <w:rsid w:val="006016FC"/>
    <w:rsid w:val="006116B8"/>
    <w:rsid w:val="0061282E"/>
    <w:rsid w:val="006167C3"/>
    <w:rsid w:val="006178B8"/>
    <w:rsid w:val="00617AF5"/>
    <w:rsid w:val="006205E2"/>
    <w:rsid w:val="00620B5D"/>
    <w:rsid w:val="00621C1E"/>
    <w:rsid w:val="00623006"/>
    <w:rsid w:val="00626711"/>
    <w:rsid w:val="006324EF"/>
    <w:rsid w:val="00633588"/>
    <w:rsid w:val="00640001"/>
    <w:rsid w:val="00642A9A"/>
    <w:rsid w:val="006459BE"/>
    <w:rsid w:val="006466F3"/>
    <w:rsid w:val="00650AFA"/>
    <w:rsid w:val="0065694F"/>
    <w:rsid w:val="00657CE1"/>
    <w:rsid w:val="006602CE"/>
    <w:rsid w:val="00661022"/>
    <w:rsid w:val="006623C9"/>
    <w:rsid w:val="00663648"/>
    <w:rsid w:val="00664581"/>
    <w:rsid w:val="006651DD"/>
    <w:rsid w:val="006668B7"/>
    <w:rsid w:val="00667FE6"/>
    <w:rsid w:val="00670405"/>
    <w:rsid w:val="00673C20"/>
    <w:rsid w:val="00675CC2"/>
    <w:rsid w:val="00681163"/>
    <w:rsid w:val="0068422B"/>
    <w:rsid w:val="0068459F"/>
    <w:rsid w:val="006858CA"/>
    <w:rsid w:val="00694B9A"/>
    <w:rsid w:val="00695D6F"/>
    <w:rsid w:val="006968C9"/>
    <w:rsid w:val="00697398"/>
    <w:rsid w:val="006979F7"/>
    <w:rsid w:val="006A2DA0"/>
    <w:rsid w:val="006A46D8"/>
    <w:rsid w:val="006A5147"/>
    <w:rsid w:val="006A62C8"/>
    <w:rsid w:val="006B0660"/>
    <w:rsid w:val="006B08E0"/>
    <w:rsid w:val="006B0B18"/>
    <w:rsid w:val="006B4830"/>
    <w:rsid w:val="006C0A7E"/>
    <w:rsid w:val="006C14CE"/>
    <w:rsid w:val="006C26CD"/>
    <w:rsid w:val="006C3C0D"/>
    <w:rsid w:val="006C3C78"/>
    <w:rsid w:val="006C492A"/>
    <w:rsid w:val="006C4998"/>
    <w:rsid w:val="006C69AE"/>
    <w:rsid w:val="006C6FBE"/>
    <w:rsid w:val="006C720D"/>
    <w:rsid w:val="006C7379"/>
    <w:rsid w:val="006D4705"/>
    <w:rsid w:val="006D5275"/>
    <w:rsid w:val="006D72D1"/>
    <w:rsid w:val="006D7681"/>
    <w:rsid w:val="006E0409"/>
    <w:rsid w:val="006E0947"/>
    <w:rsid w:val="006E6183"/>
    <w:rsid w:val="006E65FF"/>
    <w:rsid w:val="006F000E"/>
    <w:rsid w:val="006F0621"/>
    <w:rsid w:val="006F4197"/>
    <w:rsid w:val="006F47BD"/>
    <w:rsid w:val="007006B7"/>
    <w:rsid w:val="00703FE0"/>
    <w:rsid w:val="00710378"/>
    <w:rsid w:val="00710672"/>
    <w:rsid w:val="0071200C"/>
    <w:rsid w:val="00714F51"/>
    <w:rsid w:val="00716CE8"/>
    <w:rsid w:val="007208A7"/>
    <w:rsid w:val="00726098"/>
    <w:rsid w:val="0072707A"/>
    <w:rsid w:val="00730103"/>
    <w:rsid w:val="00732F0B"/>
    <w:rsid w:val="007363E6"/>
    <w:rsid w:val="007374E1"/>
    <w:rsid w:val="00741DD2"/>
    <w:rsid w:val="00743176"/>
    <w:rsid w:val="0074596E"/>
    <w:rsid w:val="00747F4A"/>
    <w:rsid w:val="0075156E"/>
    <w:rsid w:val="00751575"/>
    <w:rsid w:val="007516C8"/>
    <w:rsid w:val="00752CB7"/>
    <w:rsid w:val="0076290D"/>
    <w:rsid w:val="00764CEB"/>
    <w:rsid w:val="00765A48"/>
    <w:rsid w:val="00767DD6"/>
    <w:rsid w:val="00785919"/>
    <w:rsid w:val="007940B2"/>
    <w:rsid w:val="007966B6"/>
    <w:rsid w:val="007A079D"/>
    <w:rsid w:val="007A1A74"/>
    <w:rsid w:val="007A25E5"/>
    <w:rsid w:val="007A3A4F"/>
    <w:rsid w:val="007A4E28"/>
    <w:rsid w:val="007A7147"/>
    <w:rsid w:val="007A771B"/>
    <w:rsid w:val="007B0A7B"/>
    <w:rsid w:val="007B12B0"/>
    <w:rsid w:val="007B4CAC"/>
    <w:rsid w:val="007B6292"/>
    <w:rsid w:val="007C1272"/>
    <w:rsid w:val="007C1B8A"/>
    <w:rsid w:val="007C2AD1"/>
    <w:rsid w:val="007C5344"/>
    <w:rsid w:val="007C6E0A"/>
    <w:rsid w:val="007D222E"/>
    <w:rsid w:val="007D2825"/>
    <w:rsid w:val="007D3C06"/>
    <w:rsid w:val="007D52D9"/>
    <w:rsid w:val="007D6E7F"/>
    <w:rsid w:val="007E26DD"/>
    <w:rsid w:val="007E288B"/>
    <w:rsid w:val="007E3ECD"/>
    <w:rsid w:val="007E553C"/>
    <w:rsid w:val="007E6189"/>
    <w:rsid w:val="007F138A"/>
    <w:rsid w:val="007F1463"/>
    <w:rsid w:val="007F40E4"/>
    <w:rsid w:val="007F576F"/>
    <w:rsid w:val="007F76F4"/>
    <w:rsid w:val="00800A56"/>
    <w:rsid w:val="00800D6A"/>
    <w:rsid w:val="00801D9F"/>
    <w:rsid w:val="008031D6"/>
    <w:rsid w:val="00804CC3"/>
    <w:rsid w:val="00806C30"/>
    <w:rsid w:val="00807BBE"/>
    <w:rsid w:val="00811379"/>
    <w:rsid w:val="00812761"/>
    <w:rsid w:val="00813341"/>
    <w:rsid w:val="00814A5F"/>
    <w:rsid w:val="008159E0"/>
    <w:rsid w:val="00815BCB"/>
    <w:rsid w:val="00817984"/>
    <w:rsid w:val="00822FB6"/>
    <w:rsid w:val="00823AF2"/>
    <w:rsid w:val="00823D8E"/>
    <w:rsid w:val="00825199"/>
    <w:rsid w:val="0083220B"/>
    <w:rsid w:val="00836611"/>
    <w:rsid w:val="008412D4"/>
    <w:rsid w:val="008439F8"/>
    <w:rsid w:val="00855604"/>
    <w:rsid w:val="00867E00"/>
    <w:rsid w:val="008705AF"/>
    <w:rsid w:val="00871427"/>
    <w:rsid w:val="00871951"/>
    <w:rsid w:val="008726EA"/>
    <w:rsid w:val="00874214"/>
    <w:rsid w:val="00882810"/>
    <w:rsid w:val="00883357"/>
    <w:rsid w:val="0088392E"/>
    <w:rsid w:val="00886A51"/>
    <w:rsid w:val="00886B68"/>
    <w:rsid w:val="00891B39"/>
    <w:rsid w:val="00893180"/>
    <w:rsid w:val="00893368"/>
    <w:rsid w:val="00894597"/>
    <w:rsid w:val="00897438"/>
    <w:rsid w:val="008A0C3D"/>
    <w:rsid w:val="008A1899"/>
    <w:rsid w:val="008B2DA3"/>
    <w:rsid w:val="008B3510"/>
    <w:rsid w:val="008B3AAB"/>
    <w:rsid w:val="008B62FF"/>
    <w:rsid w:val="008C694A"/>
    <w:rsid w:val="008D0815"/>
    <w:rsid w:val="008D587C"/>
    <w:rsid w:val="008D5E03"/>
    <w:rsid w:val="008D6288"/>
    <w:rsid w:val="008E469C"/>
    <w:rsid w:val="008E7B04"/>
    <w:rsid w:val="008F0BF9"/>
    <w:rsid w:val="008F4A65"/>
    <w:rsid w:val="008F4BD2"/>
    <w:rsid w:val="008F7F05"/>
    <w:rsid w:val="00902585"/>
    <w:rsid w:val="00902850"/>
    <w:rsid w:val="009032BC"/>
    <w:rsid w:val="00905CF8"/>
    <w:rsid w:val="00911455"/>
    <w:rsid w:val="00913B66"/>
    <w:rsid w:val="009147F2"/>
    <w:rsid w:val="009205AA"/>
    <w:rsid w:val="009246E8"/>
    <w:rsid w:val="00924AF2"/>
    <w:rsid w:val="00924E76"/>
    <w:rsid w:val="00926469"/>
    <w:rsid w:val="00926557"/>
    <w:rsid w:val="0093023E"/>
    <w:rsid w:val="00931382"/>
    <w:rsid w:val="0094040B"/>
    <w:rsid w:val="00941EB0"/>
    <w:rsid w:val="0094303B"/>
    <w:rsid w:val="009469F4"/>
    <w:rsid w:val="00947358"/>
    <w:rsid w:val="00952736"/>
    <w:rsid w:val="009529F3"/>
    <w:rsid w:val="00957C11"/>
    <w:rsid w:val="00957CD7"/>
    <w:rsid w:val="009623D2"/>
    <w:rsid w:val="00970626"/>
    <w:rsid w:val="009706D5"/>
    <w:rsid w:val="00972B78"/>
    <w:rsid w:val="00973EAB"/>
    <w:rsid w:val="00981AD6"/>
    <w:rsid w:val="00982716"/>
    <w:rsid w:val="00982BF4"/>
    <w:rsid w:val="009833EF"/>
    <w:rsid w:val="009859DB"/>
    <w:rsid w:val="00992DF8"/>
    <w:rsid w:val="00992E2E"/>
    <w:rsid w:val="00994055"/>
    <w:rsid w:val="00994C2A"/>
    <w:rsid w:val="0099549F"/>
    <w:rsid w:val="0099744E"/>
    <w:rsid w:val="009A0E73"/>
    <w:rsid w:val="009A1ACF"/>
    <w:rsid w:val="009A1B13"/>
    <w:rsid w:val="009A3057"/>
    <w:rsid w:val="009A5870"/>
    <w:rsid w:val="009A6745"/>
    <w:rsid w:val="009C10B1"/>
    <w:rsid w:val="009C23B6"/>
    <w:rsid w:val="009C46A5"/>
    <w:rsid w:val="009C52FD"/>
    <w:rsid w:val="009C583F"/>
    <w:rsid w:val="009D28EA"/>
    <w:rsid w:val="009D2926"/>
    <w:rsid w:val="009D4117"/>
    <w:rsid w:val="009D43F6"/>
    <w:rsid w:val="009D49CE"/>
    <w:rsid w:val="009D76A9"/>
    <w:rsid w:val="009D7B64"/>
    <w:rsid w:val="009E45D3"/>
    <w:rsid w:val="00A007AE"/>
    <w:rsid w:val="00A011C3"/>
    <w:rsid w:val="00A04110"/>
    <w:rsid w:val="00A05F1D"/>
    <w:rsid w:val="00A07360"/>
    <w:rsid w:val="00A11984"/>
    <w:rsid w:val="00A11AC2"/>
    <w:rsid w:val="00A12BD6"/>
    <w:rsid w:val="00A154FE"/>
    <w:rsid w:val="00A175B0"/>
    <w:rsid w:val="00A20A50"/>
    <w:rsid w:val="00A2126F"/>
    <w:rsid w:val="00A23317"/>
    <w:rsid w:val="00A256BC"/>
    <w:rsid w:val="00A275F8"/>
    <w:rsid w:val="00A27B6A"/>
    <w:rsid w:val="00A27C99"/>
    <w:rsid w:val="00A32458"/>
    <w:rsid w:val="00A33517"/>
    <w:rsid w:val="00A337EF"/>
    <w:rsid w:val="00A37278"/>
    <w:rsid w:val="00A37F66"/>
    <w:rsid w:val="00A42751"/>
    <w:rsid w:val="00A5129D"/>
    <w:rsid w:val="00A52B26"/>
    <w:rsid w:val="00A547A2"/>
    <w:rsid w:val="00A60B20"/>
    <w:rsid w:val="00A62F32"/>
    <w:rsid w:val="00A65324"/>
    <w:rsid w:val="00A66703"/>
    <w:rsid w:val="00A67161"/>
    <w:rsid w:val="00A72D75"/>
    <w:rsid w:val="00A75434"/>
    <w:rsid w:val="00A76178"/>
    <w:rsid w:val="00A81785"/>
    <w:rsid w:val="00A82029"/>
    <w:rsid w:val="00A8661F"/>
    <w:rsid w:val="00A9057A"/>
    <w:rsid w:val="00A90A52"/>
    <w:rsid w:val="00A92D43"/>
    <w:rsid w:val="00A9412E"/>
    <w:rsid w:val="00AA0472"/>
    <w:rsid w:val="00AA5539"/>
    <w:rsid w:val="00AA579D"/>
    <w:rsid w:val="00AA57B3"/>
    <w:rsid w:val="00AB3B9F"/>
    <w:rsid w:val="00AB4DEC"/>
    <w:rsid w:val="00AB68A8"/>
    <w:rsid w:val="00AB76ED"/>
    <w:rsid w:val="00AC1E60"/>
    <w:rsid w:val="00AC2444"/>
    <w:rsid w:val="00AC76BD"/>
    <w:rsid w:val="00AD2D5B"/>
    <w:rsid w:val="00AD2FB5"/>
    <w:rsid w:val="00AD6228"/>
    <w:rsid w:val="00AE02D0"/>
    <w:rsid w:val="00AE1A21"/>
    <w:rsid w:val="00AE1C2C"/>
    <w:rsid w:val="00AE3631"/>
    <w:rsid w:val="00AE3B1B"/>
    <w:rsid w:val="00AE62E4"/>
    <w:rsid w:val="00AF2E1A"/>
    <w:rsid w:val="00AF5849"/>
    <w:rsid w:val="00B02739"/>
    <w:rsid w:val="00B05313"/>
    <w:rsid w:val="00B06391"/>
    <w:rsid w:val="00B070E2"/>
    <w:rsid w:val="00B10B11"/>
    <w:rsid w:val="00B13644"/>
    <w:rsid w:val="00B146E3"/>
    <w:rsid w:val="00B17F00"/>
    <w:rsid w:val="00B21253"/>
    <w:rsid w:val="00B227BA"/>
    <w:rsid w:val="00B2322D"/>
    <w:rsid w:val="00B23F64"/>
    <w:rsid w:val="00B24D6E"/>
    <w:rsid w:val="00B25FE7"/>
    <w:rsid w:val="00B2773A"/>
    <w:rsid w:val="00B30C73"/>
    <w:rsid w:val="00B312B6"/>
    <w:rsid w:val="00B3351A"/>
    <w:rsid w:val="00B3466E"/>
    <w:rsid w:val="00B35193"/>
    <w:rsid w:val="00B3635F"/>
    <w:rsid w:val="00B40F36"/>
    <w:rsid w:val="00B431E2"/>
    <w:rsid w:val="00B5058B"/>
    <w:rsid w:val="00B50D8F"/>
    <w:rsid w:val="00B51B72"/>
    <w:rsid w:val="00B540DC"/>
    <w:rsid w:val="00B5491F"/>
    <w:rsid w:val="00B55EB0"/>
    <w:rsid w:val="00B56DBE"/>
    <w:rsid w:val="00B67037"/>
    <w:rsid w:val="00B7062F"/>
    <w:rsid w:val="00B712D3"/>
    <w:rsid w:val="00B74618"/>
    <w:rsid w:val="00B75CC1"/>
    <w:rsid w:val="00B76BAD"/>
    <w:rsid w:val="00B80300"/>
    <w:rsid w:val="00B84575"/>
    <w:rsid w:val="00B874C7"/>
    <w:rsid w:val="00B931CC"/>
    <w:rsid w:val="00BA574D"/>
    <w:rsid w:val="00BA7145"/>
    <w:rsid w:val="00BB098E"/>
    <w:rsid w:val="00BB2747"/>
    <w:rsid w:val="00BB6DE0"/>
    <w:rsid w:val="00BB7B6D"/>
    <w:rsid w:val="00BC2332"/>
    <w:rsid w:val="00BC544E"/>
    <w:rsid w:val="00BD0387"/>
    <w:rsid w:val="00BE2D37"/>
    <w:rsid w:val="00BE46F9"/>
    <w:rsid w:val="00BE6D6A"/>
    <w:rsid w:val="00BF18BF"/>
    <w:rsid w:val="00BF5F4E"/>
    <w:rsid w:val="00BF6035"/>
    <w:rsid w:val="00C02CBF"/>
    <w:rsid w:val="00C06DB7"/>
    <w:rsid w:val="00C10A40"/>
    <w:rsid w:val="00C14D12"/>
    <w:rsid w:val="00C210AF"/>
    <w:rsid w:val="00C23FA2"/>
    <w:rsid w:val="00C2498D"/>
    <w:rsid w:val="00C24F73"/>
    <w:rsid w:val="00C30058"/>
    <w:rsid w:val="00C30F11"/>
    <w:rsid w:val="00C3668F"/>
    <w:rsid w:val="00C45490"/>
    <w:rsid w:val="00C5054F"/>
    <w:rsid w:val="00C506D7"/>
    <w:rsid w:val="00C51610"/>
    <w:rsid w:val="00C52763"/>
    <w:rsid w:val="00C5374C"/>
    <w:rsid w:val="00C60723"/>
    <w:rsid w:val="00C60DFD"/>
    <w:rsid w:val="00C63E4E"/>
    <w:rsid w:val="00C64436"/>
    <w:rsid w:val="00C65E39"/>
    <w:rsid w:val="00C660BA"/>
    <w:rsid w:val="00C66267"/>
    <w:rsid w:val="00C70FDC"/>
    <w:rsid w:val="00C72B91"/>
    <w:rsid w:val="00C7594B"/>
    <w:rsid w:val="00C76242"/>
    <w:rsid w:val="00C771EF"/>
    <w:rsid w:val="00C7769B"/>
    <w:rsid w:val="00C77A67"/>
    <w:rsid w:val="00C91BE5"/>
    <w:rsid w:val="00C922B8"/>
    <w:rsid w:val="00C92627"/>
    <w:rsid w:val="00C934C4"/>
    <w:rsid w:val="00C945D5"/>
    <w:rsid w:val="00C97F87"/>
    <w:rsid w:val="00CA0BC2"/>
    <w:rsid w:val="00CA642D"/>
    <w:rsid w:val="00CB1430"/>
    <w:rsid w:val="00CB6D87"/>
    <w:rsid w:val="00CC13B4"/>
    <w:rsid w:val="00CC2174"/>
    <w:rsid w:val="00CC2464"/>
    <w:rsid w:val="00CC493F"/>
    <w:rsid w:val="00CC67C3"/>
    <w:rsid w:val="00CD13E5"/>
    <w:rsid w:val="00CD373D"/>
    <w:rsid w:val="00CD39F3"/>
    <w:rsid w:val="00CD5BA2"/>
    <w:rsid w:val="00CD5F99"/>
    <w:rsid w:val="00CD602B"/>
    <w:rsid w:val="00CD648B"/>
    <w:rsid w:val="00CD6628"/>
    <w:rsid w:val="00CE0123"/>
    <w:rsid w:val="00CE05A2"/>
    <w:rsid w:val="00CE2F18"/>
    <w:rsid w:val="00CE35EF"/>
    <w:rsid w:val="00CE7AB4"/>
    <w:rsid w:val="00CF0B8C"/>
    <w:rsid w:val="00CF4BFD"/>
    <w:rsid w:val="00CF5D72"/>
    <w:rsid w:val="00D00253"/>
    <w:rsid w:val="00D01499"/>
    <w:rsid w:val="00D07358"/>
    <w:rsid w:val="00D11AFA"/>
    <w:rsid w:val="00D12036"/>
    <w:rsid w:val="00D14193"/>
    <w:rsid w:val="00D17A25"/>
    <w:rsid w:val="00D23138"/>
    <w:rsid w:val="00D24516"/>
    <w:rsid w:val="00D25921"/>
    <w:rsid w:val="00D30059"/>
    <w:rsid w:val="00D30179"/>
    <w:rsid w:val="00D31B35"/>
    <w:rsid w:val="00D31DDF"/>
    <w:rsid w:val="00D31FAF"/>
    <w:rsid w:val="00D3694E"/>
    <w:rsid w:val="00D37A6C"/>
    <w:rsid w:val="00D41828"/>
    <w:rsid w:val="00D448ED"/>
    <w:rsid w:val="00D476B4"/>
    <w:rsid w:val="00D51C92"/>
    <w:rsid w:val="00D52423"/>
    <w:rsid w:val="00D53787"/>
    <w:rsid w:val="00D6013C"/>
    <w:rsid w:val="00D627F5"/>
    <w:rsid w:val="00D65269"/>
    <w:rsid w:val="00D67F38"/>
    <w:rsid w:val="00D73A70"/>
    <w:rsid w:val="00D74127"/>
    <w:rsid w:val="00D76FF1"/>
    <w:rsid w:val="00D833FC"/>
    <w:rsid w:val="00D84690"/>
    <w:rsid w:val="00D92296"/>
    <w:rsid w:val="00D95F4D"/>
    <w:rsid w:val="00D97215"/>
    <w:rsid w:val="00DA0591"/>
    <w:rsid w:val="00DA1DA0"/>
    <w:rsid w:val="00DA3227"/>
    <w:rsid w:val="00DA5C6B"/>
    <w:rsid w:val="00DA66EB"/>
    <w:rsid w:val="00DA749E"/>
    <w:rsid w:val="00DB3674"/>
    <w:rsid w:val="00DB4BD2"/>
    <w:rsid w:val="00DB4FA7"/>
    <w:rsid w:val="00DB521F"/>
    <w:rsid w:val="00DC60B0"/>
    <w:rsid w:val="00DC6FBF"/>
    <w:rsid w:val="00DC7937"/>
    <w:rsid w:val="00DC7D40"/>
    <w:rsid w:val="00DC7F6E"/>
    <w:rsid w:val="00DD05B0"/>
    <w:rsid w:val="00DD201F"/>
    <w:rsid w:val="00DD33B2"/>
    <w:rsid w:val="00DD3C1F"/>
    <w:rsid w:val="00DD4253"/>
    <w:rsid w:val="00DD4A0D"/>
    <w:rsid w:val="00DD6E39"/>
    <w:rsid w:val="00DE1805"/>
    <w:rsid w:val="00DE3C25"/>
    <w:rsid w:val="00DE3F0E"/>
    <w:rsid w:val="00DE5FBC"/>
    <w:rsid w:val="00DF1C86"/>
    <w:rsid w:val="00DF563E"/>
    <w:rsid w:val="00E0076D"/>
    <w:rsid w:val="00E01153"/>
    <w:rsid w:val="00E02F89"/>
    <w:rsid w:val="00E04C31"/>
    <w:rsid w:val="00E0648A"/>
    <w:rsid w:val="00E1288D"/>
    <w:rsid w:val="00E12D92"/>
    <w:rsid w:val="00E15FCF"/>
    <w:rsid w:val="00E161BC"/>
    <w:rsid w:val="00E16DD7"/>
    <w:rsid w:val="00E17703"/>
    <w:rsid w:val="00E2254D"/>
    <w:rsid w:val="00E32651"/>
    <w:rsid w:val="00E367DF"/>
    <w:rsid w:val="00E42529"/>
    <w:rsid w:val="00E450A0"/>
    <w:rsid w:val="00E47A1A"/>
    <w:rsid w:val="00E527C7"/>
    <w:rsid w:val="00E53208"/>
    <w:rsid w:val="00E543D5"/>
    <w:rsid w:val="00E5515C"/>
    <w:rsid w:val="00E5739A"/>
    <w:rsid w:val="00E610FB"/>
    <w:rsid w:val="00E61C5E"/>
    <w:rsid w:val="00E67CF9"/>
    <w:rsid w:val="00E701ED"/>
    <w:rsid w:val="00E72E63"/>
    <w:rsid w:val="00E73A87"/>
    <w:rsid w:val="00E8285E"/>
    <w:rsid w:val="00E86399"/>
    <w:rsid w:val="00E879B7"/>
    <w:rsid w:val="00E91F45"/>
    <w:rsid w:val="00E9397B"/>
    <w:rsid w:val="00E93A96"/>
    <w:rsid w:val="00E95622"/>
    <w:rsid w:val="00E95D93"/>
    <w:rsid w:val="00E972F1"/>
    <w:rsid w:val="00EA04C2"/>
    <w:rsid w:val="00EA4E63"/>
    <w:rsid w:val="00EA7A97"/>
    <w:rsid w:val="00EB3662"/>
    <w:rsid w:val="00EB3C60"/>
    <w:rsid w:val="00EC28D2"/>
    <w:rsid w:val="00EC5364"/>
    <w:rsid w:val="00EC77FB"/>
    <w:rsid w:val="00ED11FE"/>
    <w:rsid w:val="00ED64C5"/>
    <w:rsid w:val="00EE3374"/>
    <w:rsid w:val="00EF247B"/>
    <w:rsid w:val="00EF7AAC"/>
    <w:rsid w:val="00F03800"/>
    <w:rsid w:val="00F07B69"/>
    <w:rsid w:val="00F21BC8"/>
    <w:rsid w:val="00F25CEE"/>
    <w:rsid w:val="00F319D7"/>
    <w:rsid w:val="00F31E82"/>
    <w:rsid w:val="00F3297C"/>
    <w:rsid w:val="00F35FA3"/>
    <w:rsid w:val="00F4047D"/>
    <w:rsid w:val="00F41021"/>
    <w:rsid w:val="00F41400"/>
    <w:rsid w:val="00F417A5"/>
    <w:rsid w:val="00F42BFA"/>
    <w:rsid w:val="00F474EA"/>
    <w:rsid w:val="00F50BA1"/>
    <w:rsid w:val="00F53121"/>
    <w:rsid w:val="00F628F3"/>
    <w:rsid w:val="00F64301"/>
    <w:rsid w:val="00F700BA"/>
    <w:rsid w:val="00F70BF3"/>
    <w:rsid w:val="00F71C49"/>
    <w:rsid w:val="00F729BB"/>
    <w:rsid w:val="00F740D8"/>
    <w:rsid w:val="00F74DEA"/>
    <w:rsid w:val="00F83DFF"/>
    <w:rsid w:val="00F915E5"/>
    <w:rsid w:val="00F92FDD"/>
    <w:rsid w:val="00FA0717"/>
    <w:rsid w:val="00FA0BBB"/>
    <w:rsid w:val="00FA4AF5"/>
    <w:rsid w:val="00FA53C6"/>
    <w:rsid w:val="00FA6833"/>
    <w:rsid w:val="00FA7600"/>
    <w:rsid w:val="00FA782F"/>
    <w:rsid w:val="00FB4D80"/>
    <w:rsid w:val="00FB51DA"/>
    <w:rsid w:val="00FB607B"/>
    <w:rsid w:val="00FC1274"/>
    <w:rsid w:val="00FC24D3"/>
    <w:rsid w:val="00FC49F5"/>
    <w:rsid w:val="00FC5A08"/>
    <w:rsid w:val="00FD033C"/>
    <w:rsid w:val="00FD04DD"/>
    <w:rsid w:val="00FD0E14"/>
    <w:rsid w:val="00FD1A55"/>
    <w:rsid w:val="00FD228C"/>
    <w:rsid w:val="00FD3FA1"/>
    <w:rsid w:val="00FD4ACE"/>
    <w:rsid w:val="00FD61A9"/>
    <w:rsid w:val="00FD6CAB"/>
    <w:rsid w:val="00FE2940"/>
    <w:rsid w:val="00FF34B3"/>
    <w:rsid w:val="00FF706F"/>
    <w:rsid w:val="00FF7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1C29D"/>
  <w15:chartTrackingRefBased/>
  <w15:docId w15:val="{BAE346F7-61CB-41DD-8CCE-F38835EA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87723"/>
    <w:rPr>
      <w:sz w:val="24"/>
      <w:szCs w:val="24"/>
      <w:lang w:val="en-US" w:eastAsia="en-US"/>
    </w:rPr>
  </w:style>
  <w:style w:type="paragraph" w:styleId="berschrift1">
    <w:name w:val="heading 1"/>
    <w:basedOn w:val="Standard"/>
    <w:next w:val="Standard"/>
    <w:qFormat/>
    <w:rsid w:val="00B05313"/>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05313"/>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B05313"/>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130A50"/>
    <w:pPr>
      <w:keepNext/>
      <w:spacing w:before="240" w:after="60"/>
      <w:outlineLvl w:val="3"/>
    </w:pPr>
    <w:rPr>
      <w:b/>
      <w:bCs/>
      <w:sz w:val="28"/>
      <w:szCs w:val="28"/>
      <w:lang w:val="hr-HR"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A,FA Fußnotentext,Footnote Text Char Char Char Char,Footnote Text Char Char,Footnote Text Char Char Char Char Char Char,Footnote Text Char Char Char,Footnote Text Char Char Char Char Char,FA Char,FA Fußnotentext Char"/>
    <w:basedOn w:val="Standard"/>
    <w:link w:val="FunotentextZchn"/>
    <w:semiHidden/>
    <w:rsid w:val="006858CA"/>
    <w:rPr>
      <w:sz w:val="20"/>
      <w:szCs w:val="20"/>
      <w:lang w:val="bs-Latn-BA" w:eastAsia="x-none"/>
    </w:rPr>
  </w:style>
  <w:style w:type="character" w:styleId="Funotenzeichen">
    <w:name w:val="footnote reference"/>
    <w:aliases w:val="Appel note de bas de page"/>
    <w:semiHidden/>
    <w:rsid w:val="006858CA"/>
    <w:rPr>
      <w:vertAlign w:val="superscript"/>
    </w:rPr>
  </w:style>
  <w:style w:type="paragraph" w:customStyle="1" w:styleId="Paragraphs">
    <w:name w:val="Paragraphs"/>
    <w:link w:val="ParagraphsChar2"/>
    <w:rsid w:val="00893368"/>
    <w:pPr>
      <w:numPr>
        <w:numId w:val="8"/>
      </w:numPr>
      <w:tabs>
        <w:tab w:val="num" w:pos="360"/>
      </w:tabs>
      <w:spacing w:after="240" w:line="360" w:lineRule="auto"/>
      <w:ind w:left="0" w:firstLine="0"/>
      <w:jc w:val="both"/>
    </w:pPr>
    <w:rPr>
      <w:sz w:val="24"/>
      <w:lang w:val="en-US" w:eastAsia="en-GB"/>
    </w:rPr>
  </w:style>
  <w:style w:type="character" w:customStyle="1" w:styleId="ParagraphsChar2">
    <w:name w:val="Paragraphs Char2"/>
    <w:link w:val="Paragraphs"/>
    <w:rsid w:val="00893368"/>
    <w:rPr>
      <w:sz w:val="24"/>
      <w:lang w:val="en-US" w:eastAsia="en-GB" w:bidi="ar-SA"/>
    </w:rPr>
  </w:style>
  <w:style w:type="character" w:customStyle="1" w:styleId="FunotentextZchn">
    <w:name w:val="Fußnotentext Zchn"/>
    <w:aliases w:val="FA Zchn,FA Fußnotentext Zchn,Footnote Text Char Char Char Char Zchn,Footnote Text Char Char Zchn,Footnote Text Char Char Char Char Char Char Zchn,Footnote Text Char Char Char Zchn,Footnote Text Char Char Char Char Char Zchn"/>
    <w:link w:val="Funotentext"/>
    <w:semiHidden/>
    <w:rsid w:val="00893368"/>
    <w:rPr>
      <w:lang w:val="bs-Latn-BA"/>
    </w:rPr>
  </w:style>
  <w:style w:type="paragraph" w:customStyle="1" w:styleId="Quotes">
    <w:name w:val="Quotes"/>
    <w:link w:val="QuotesChar"/>
    <w:rsid w:val="00893368"/>
    <w:pPr>
      <w:spacing w:after="280"/>
      <w:ind w:left="851" w:right="851"/>
      <w:jc w:val="both"/>
    </w:pPr>
    <w:rPr>
      <w:rFonts w:ascii="TimesPP" w:hAnsi="TimesPP"/>
      <w:sz w:val="22"/>
      <w:lang w:val="en-GB" w:eastAsia="en-US"/>
    </w:rPr>
  </w:style>
  <w:style w:type="character" w:customStyle="1" w:styleId="QuotesChar">
    <w:name w:val="Quotes Char"/>
    <w:link w:val="Quotes"/>
    <w:rsid w:val="00893368"/>
    <w:rPr>
      <w:rFonts w:ascii="TimesPP" w:hAnsi="TimesPP"/>
      <w:sz w:val="22"/>
      <w:lang w:val="en-GB" w:eastAsia="en-US" w:bidi="ar-SA"/>
    </w:rPr>
  </w:style>
  <w:style w:type="paragraph" w:customStyle="1" w:styleId="Default">
    <w:name w:val="Default"/>
    <w:rsid w:val="00893368"/>
    <w:pPr>
      <w:autoSpaceDE w:val="0"/>
      <w:autoSpaceDN w:val="0"/>
      <w:adjustRightInd w:val="0"/>
    </w:pPr>
    <w:rPr>
      <w:color w:val="000000"/>
      <w:sz w:val="24"/>
      <w:szCs w:val="24"/>
      <w:lang w:val="en-US" w:eastAsia="en-US"/>
    </w:rPr>
  </w:style>
  <w:style w:type="paragraph" w:customStyle="1" w:styleId="ColorfulList-Accent11">
    <w:name w:val="Colorful List - Accent 11"/>
    <w:basedOn w:val="Standard"/>
    <w:uiPriority w:val="34"/>
    <w:qFormat/>
    <w:rsid w:val="00B02739"/>
    <w:pPr>
      <w:ind w:left="720"/>
    </w:pPr>
  </w:style>
  <w:style w:type="character" w:customStyle="1" w:styleId="FootnoteTextChar">
    <w:name w:val="Footnote Text Char"/>
    <w:semiHidden/>
    <w:rsid w:val="006E0409"/>
    <w:rPr>
      <w:lang w:val="bs-Latn-BA"/>
    </w:rPr>
  </w:style>
  <w:style w:type="character" w:customStyle="1" w:styleId="berschrift4Zchn">
    <w:name w:val="Überschrift 4 Zchn"/>
    <w:link w:val="berschrift4"/>
    <w:rsid w:val="00130A50"/>
    <w:rPr>
      <w:b/>
      <w:bCs/>
      <w:sz w:val="28"/>
      <w:szCs w:val="28"/>
      <w:lang w:val="hr-HR"/>
    </w:rPr>
  </w:style>
  <w:style w:type="paragraph" w:customStyle="1" w:styleId="Heading4a">
    <w:name w:val="Heading 4a"/>
    <w:basedOn w:val="berschrift4"/>
    <w:rsid w:val="00130A50"/>
    <w:pPr>
      <w:spacing w:before="0" w:after="120"/>
      <w:jc w:val="center"/>
    </w:pPr>
    <w:rPr>
      <w:bCs w:val="0"/>
      <w:sz w:val="22"/>
      <w:szCs w:val="20"/>
    </w:rPr>
  </w:style>
  <w:style w:type="paragraph" w:styleId="Sprechblasentext">
    <w:name w:val="Balloon Text"/>
    <w:basedOn w:val="Standard"/>
    <w:link w:val="SprechblasentextZchn"/>
    <w:rsid w:val="00ED64C5"/>
    <w:rPr>
      <w:rFonts w:ascii="Tahoma" w:hAnsi="Tahoma"/>
      <w:sz w:val="16"/>
      <w:szCs w:val="16"/>
      <w:lang w:val="x-none" w:eastAsia="x-none"/>
    </w:rPr>
  </w:style>
  <w:style w:type="character" w:customStyle="1" w:styleId="SprechblasentextZchn">
    <w:name w:val="Sprechblasentext Zchn"/>
    <w:link w:val="Sprechblasentext"/>
    <w:rsid w:val="00ED64C5"/>
    <w:rPr>
      <w:rFonts w:ascii="Tahoma" w:hAnsi="Tahoma" w:cs="Tahoma"/>
      <w:sz w:val="16"/>
      <w:szCs w:val="16"/>
    </w:rPr>
  </w:style>
  <w:style w:type="paragraph" w:styleId="Fuzeile">
    <w:name w:val="footer"/>
    <w:basedOn w:val="Standard"/>
    <w:rsid w:val="004B7355"/>
    <w:pPr>
      <w:tabs>
        <w:tab w:val="center" w:pos="4320"/>
        <w:tab w:val="right" w:pos="8640"/>
      </w:tabs>
    </w:pPr>
  </w:style>
  <w:style w:type="character" w:styleId="Seitenzahl">
    <w:name w:val="page number"/>
    <w:basedOn w:val="Absatz-Standardschriftart"/>
    <w:rsid w:val="004B7355"/>
  </w:style>
  <w:style w:type="paragraph" w:styleId="Dokumentstruktur">
    <w:name w:val="Document Map"/>
    <w:basedOn w:val="Standard"/>
    <w:semiHidden/>
    <w:rsid w:val="00591E10"/>
    <w:pPr>
      <w:shd w:val="clear" w:color="auto" w:fill="000080"/>
    </w:pPr>
    <w:rPr>
      <w:rFonts w:ascii="Tahoma" w:hAnsi="Tahoma" w:cs="Tahoma"/>
      <w:sz w:val="20"/>
      <w:szCs w:val="20"/>
    </w:rPr>
  </w:style>
  <w:style w:type="paragraph" w:styleId="StandardWeb">
    <w:name w:val="Normal (Web)"/>
    <w:basedOn w:val="Standard"/>
    <w:rsid w:val="006F000E"/>
    <w:pPr>
      <w:spacing w:before="100" w:beforeAutospacing="1" w:after="100" w:afterAutospacing="1"/>
    </w:pPr>
  </w:style>
  <w:style w:type="character" w:styleId="Hyperlink">
    <w:name w:val="Hyperlink"/>
    <w:uiPriority w:val="99"/>
    <w:unhideWhenUsed/>
    <w:rsid w:val="00AF5849"/>
    <w:rPr>
      <w:color w:val="0000FF"/>
      <w:u w:val="single"/>
    </w:rPr>
  </w:style>
  <w:style w:type="paragraph" w:customStyle="1" w:styleId="Naslov1">
    <w:name w:val="Naslov1"/>
    <w:basedOn w:val="Standard"/>
    <w:autoRedefine/>
    <w:rsid w:val="00EF247B"/>
    <w:pPr>
      <w:spacing w:after="120"/>
      <w:jc w:val="both"/>
    </w:pPr>
    <w:rPr>
      <w:b/>
      <w:bCs/>
      <w:lang w:val="hr-HR"/>
    </w:rPr>
  </w:style>
  <w:style w:type="paragraph" w:customStyle="1" w:styleId="Naslov2">
    <w:name w:val="Naslov2"/>
    <w:basedOn w:val="Standard"/>
    <w:next w:val="Naslov1"/>
    <w:autoRedefine/>
    <w:rsid w:val="00812761"/>
    <w:pPr>
      <w:ind w:right="-7"/>
      <w:jc w:val="both"/>
    </w:pPr>
    <w:rPr>
      <w:i/>
      <w:lang w:val="hr-HR"/>
    </w:rPr>
  </w:style>
  <w:style w:type="paragraph" w:customStyle="1" w:styleId="Naslov3">
    <w:name w:val="Naslov3"/>
    <w:basedOn w:val="Standard"/>
    <w:next w:val="Naslov2"/>
    <w:autoRedefine/>
    <w:rsid w:val="00F4047D"/>
    <w:pPr>
      <w:ind w:right="-6"/>
      <w:jc w:val="both"/>
    </w:pPr>
    <w:rPr>
      <w:lang w:val="hr-HR"/>
    </w:rPr>
  </w:style>
  <w:style w:type="paragraph" w:styleId="Verzeichnis1">
    <w:name w:val="toc 1"/>
    <w:basedOn w:val="Standard"/>
    <w:next w:val="Standard"/>
    <w:autoRedefine/>
    <w:semiHidden/>
    <w:rsid w:val="005C604F"/>
    <w:pPr>
      <w:tabs>
        <w:tab w:val="right" w:leader="dot" w:pos="8636"/>
      </w:tabs>
      <w:spacing w:after="120"/>
    </w:pPr>
  </w:style>
  <w:style w:type="paragraph" w:styleId="Verzeichnis2">
    <w:name w:val="toc 2"/>
    <w:basedOn w:val="Standard"/>
    <w:next w:val="Standard"/>
    <w:autoRedefine/>
    <w:semiHidden/>
    <w:rsid w:val="00B05313"/>
    <w:pPr>
      <w:ind w:left="240"/>
    </w:pPr>
  </w:style>
  <w:style w:type="paragraph" w:styleId="Verzeichnis3">
    <w:name w:val="toc 3"/>
    <w:basedOn w:val="Standard"/>
    <w:next w:val="Standard"/>
    <w:autoRedefine/>
    <w:semiHidden/>
    <w:rsid w:val="00B05313"/>
    <w:pPr>
      <w:ind w:left="480"/>
    </w:pPr>
  </w:style>
  <w:style w:type="character" w:styleId="Kommentarzeichen">
    <w:name w:val="annotation reference"/>
    <w:rsid w:val="00D24516"/>
    <w:rPr>
      <w:sz w:val="16"/>
      <w:szCs w:val="16"/>
    </w:rPr>
  </w:style>
  <w:style w:type="paragraph" w:styleId="Kommentartext">
    <w:name w:val="annotation text"/>
    <w:basedOn w:val="Standard"/>
    <w:link w:val="KommentartextZchn"/>
    <w:rsid w:val="00D24516"/>
    <w:rPr>
      <w:sz w:val="20"/>
      <w:szCs w:val="20"/>
    </w:rPr>
  </w:style>
  <w:style w:type="character" w:customStyle="1" w:styleId="KommentartextZchn">
    <w:name w:val="Kommentartext Zchn"/>
    <w:link w:val="Kommentartext"/>
    <w:rsid w:val="00D24516"/>
    <w:rPr>
      <w:lang w:val="en-US" w:eastAsia="en-US"/>
    </w:rPr>
  </w:style>
  <w:style w:type="paragraph" w:styleId="Kommentarthema">
    <w:name w:val="annotation subject"/>
    <w:basedOn w:val="Kommentartext"/>
    <w:next w:val="Kommentartext"/>
    <w:link w:val="KommentarthemaZchn"/>
    <w:rsid w:val="00D24516"/>
    <w:rPr>
      <w:b/>
      <w:bCs/>
    </w:rPr>
  </w:style>
  <w:style w:type="character" w:customStyle="1" w:styleId="KommentarthemaZchn">
    <w:name w:val="Kommentarthema Zchn"/>
    <w:link w:val="Kommentarthema"/>
    <w:rsid w:val="00D24516"/>
    <w:rPr>
      <w:b/>
      <w:bCs/>
      <w:lang w:val="en-US" w:eastAsia="en-US"/>
    </w:rPr>
  </w:style>
  <w:style w:type="paragraph" w:customStyle="1" w:styleId="Revision1">
    <w:name w:val="Revision1"/>
    <w:hidden/>
    <w:uiPriority w:val="99"/>
    <w:semiHidden/>
    <w:rsid w:val="00E86399"/>
    <w:rPr>
      <w:sz w:val="24"/>
      <w:szCs w:val="24"/>
      <w:lang w:val="en-US" w:eastAsia="en-US"/>
    </w:rPr>
  </w:style>
  <w:style w:type="character" w:styleId="BesuchterLink">
    <w:name w:val="FollowedHyperlink"/>
    <w:rsid w:val="00DD33B2"/>
    <w:rPr>
      <w:color w:val="800080"/>
      <w:u w:val="single"/>
    </w:rPr>
  </w:style>
  <w:style w:type="character" w:styleId="NichtaufgelsteErwhnung">
    <w:name w:val="Unresolved Mention"/>
    <w:uiPriority w:val="99"/>
    <w:semiHidden/>
    <w:unhideWhenUsed/>
    <w:rsid w:val="00CC2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0398">
      <w:bodyDiv w:val="1"/>
      <w:marLeft w:val="0"/>
      <w:marRight w:val="0"/>
      <w:marTop w:val="0"/>
      <w:marBottom w:val="0"/>
      <w:divBdr>
        <w:top w:val="none" w:sz="0" w:space="0" w:color="auto"/>
        <w:left w:val="none" w:sz="0" w:space="0" w:color="auto"/>
        <w:bottom w:val="none" w:sz="0" w:space="0" w:color="auto"/>
        <w:right w:val="none" w:sz="0" w:space="0" w:color="auto"/>
      </w:divBdr>
      <w:divsChild>
        <w:div w:id="1158302009">
          <w:marLeft w:val="0"/>
          <w:marRight w:val="501"/>
          <w:marTop w:val="0"/>
          <w:marBottom w:val="0"/>
          <w:divBdr>
            <w:top w:val="none" w:sz="0" w:space="0" w:color="auto"/>
            <w:left w:val="none" w:sz="0" w:space="0" w:color="auto"/>
            <w:bottom w:val="none" w:sz="0" w:space="0" w:color="auto"/>
            <w:right w:val="none" w:sz="0" w:space="0" w:color="auto"/>
          </w:divBdr>
        </w:div>
      </w:divsChild>
    </w:div>
    <w:div w:id="1203978755">
      <w:bodyDiv w:val="1"/>
      <w:marLeft w:val="0"/>
      <w:marRight w:val="0"/>
      <w:marTop w:val="0"/>
      <w:marBottom w:val="0"/>
      <w:divBdr>
        <w:top w:val="none" w:sz="0" w:space="0" w:color="auto"/>
        <w:left w:val="none" w:sz="0" w:space="0" w:color="auto"/>
        <w:bottom w:val="none" w:sz="0" w:space="0" w:color="auto"/>
        <w:right w:val="none" w:sz="0" w:space="0" w:color="auto"/>
      </w:divBdr>
      <w:divsChild>
        <w:div w:id="4987040">
          <w:marLeft w:val="0"/>
          <w:marRight w:val="0"/>
          <w:marTop w:val="0"/>
          <w:marBottom w:val="0"/>
          <w:divBdr>
            <w:top w:val="none" w:sz="0" w:space="0" w:color="auto"/>
            <w:left w:val="none" w:sz="0" w:space="0" w:color="auto"/>
            <w:bottom w:val="none" w:sz="0" w:space="0" w:color="auto"/>
            <w:right w:val="none" w:sz="0" w:space="0" w:color="auto"/>
          </w:divBdr>
          <w:divsChild>
            <w:div w:id="1667702669">
              <w:marLeft w:val="0"/>
              <w:marRight w:val="0"/>
              <w:marTop w:val="0"/>
              <w:marBottom w:val="0"/>
              <w:divBdr>
                <w:top w:val="none" w:sz="0" w:space="0" w:color="auto"/>
                <w:left w:val="none" w:sz="0" w:space="0" w:color="auto"/>
                <w:bottom w:val="none" w:sz="0" w:space="0" w:color="auto"/>
                <w:right w:val="none" w:sz="0" w:space="0" w:color="auto"/>
              </w:divBdr>
              <w:divsChild>
                <w:div w:id="1880780083">
                  <w:marLeft w:val="0"/>
                  <w:marRight w:val="0"/>
                  <w:marTop w:val="0"/>
                  <w:marBottom w:val="0"/>
                  <w:divBdr>
                    <w:top w:val="none" w:sz="0" w:space="0" w:color="auto"/>
                    <w:left w:val="none" w:sz="0" w:space="0" w:color="auto"/>
                    <w:bottom w:val="none" w:sz="0" w:space="0" w:color="auto"/>
                    <w:right w:val="none" w:sz="0" w:space="0" w:color="auto"/>
                  </w:divBdr>
                  <w:divsChild>
                    <w:div w:id="1246376726">
                      <w:marLeft w:val="0"/>
                      <w:marRight w:val="0"/>
                      <w:marTop w:val="0"/>
                      <w:marBottom w:val="0"/>
                      <w:divBdr>
                        <w:top w:val="none" w:sz="0" w:space="0" w:color="auto"/>
                        <w:left w:val="none" w:sz="0" w:space="0" w:color="auto"/>
                        <w:bottom w:val="none" w:sz="0" w:space="0" w:color="auto"/>
                        <w:right w:val="none" w:sz="0" w:space="0" w:color="auto"/>
                      </w:divBdr>
                      <w:divsChild>
                        <w:div w:id="488786644">
                          <w:marLeft w:val="0"/>
                          <w:marRight w:val="0"/>
                          <w:marTop w:val="125"/>
                          <w:marBottom w:val="125"/>
                          <w:divBdr>
                            <w:top w:val="none" w:sz="0" w:space="0" w:color="auto"/>
                            <w:left w:val="none" w:sz="0" w:space="0" w:color="auto"/>
                            <w:bottom w:val="none" w:sz="0" w:space="0" w:color="auto"/>
                            <w:right w:val="none" w:sz="0" w:space="0" w:color="auto"/>
                          </w:divBdr>
                          <w:divsChild>
                            <w:div w:id="2136604993">
                              <w:marLeft w:val="0"/>
                              <w:marRight w:val="0"/>
                              <w:marTop w:val="0"/>
                              <w:marBottom w:val="0"/>
                              <w:divBdr>
                                <w:top w:val="none" w:sz="0" w:space="0" w:color="auto"/>
                                <w:left w:val="none" w:sz="0" w:space="0" w:color="auto"/>
                                <w:bottom w:val="none" w:sz="0" w:space="0" w:color="auto"/>
                                <w:right w:val="none" w:sz="0" w:space="0" w:color="auto"/>
                              </w:divBdr>
                              <w:divsChild>
                                <w:div w:id="689186632">
                                  <w:marLeft w:val="0"/>
                                  <w:marRight w:val="0"/>
                                  <w:marTop w:val="0"/>
                                  <w:marBottom w:val="0"/>
                                  <w:divBdr>
                                    <w:top w:val="none" w:sz="0" w:space="0" w:color="auto"/>
                                    <w:left w:val="none" w:sz="0" w:space="0" w:color="auto"/>
                                    <w:bottom w:val="none" w:sz="0" w:space="0" w:color="auto"/>
                                    <w:right w:val="none" w:sz="0" w:space="0" w:color="auto"/>
                                  </w:divBdr>
                                  <w:divsChild>
                                    <w:div w:id="627052793">
                                      <w:marLeft w:val="0"/>
                                      <w:marRight w:val="0"/>
                                      <w:marTop w:val="0"/>
                                      <w:marBottom w:val="0"/>
                                      <w:divBdr>
                                        <w:top w:val="none" w:sz="0" w:space="0" w:color="auto"/>
                                        <w:left w:val="none" w:sz="0" w:space="0" w:color="auto"/>
                                        <w:bottom w:val="none" w:sz="0" w:space="0" w:color="auto"/>
                                        <w:right w:val="none" w:sz="0" w:space="0" w:color="auto"/>
                                      </w:divBdr>
                                      <w:divsChild>
                                        <w:div w:id="934284964">
                                          <w:marLeft w:val="0"/>
                                          <w:marRight w:val="0"/>
                                          <w:marTop w:val="0"/>
                                          <w:marBottom w:val="0"/>
                                          <w:divBdr>
                                            <w:top w:val="none" w:sz="0" w:space="0" w:color="auto"/>
                                            <w:left w:val="none" w:sz="0" w:space="0" w:color="auto"/>
                                            <w:bottom w:val="none" w:sz="0" w:space="0" w:color="auto"/>
                                            <w:right w:val="none" w:sz="0" w:space="0" w:color="auto"/>
                                          </w:divBdr>
                                          <w:divsChild>
                                            <w:div w:id="1145707533">
                                              <w:marLeft w:val="0"/>
                                              <w:marRight w:val="0"/>
                                              <w:marTop w:val="0"/>
                                              <w:marBottom w:val="0"/>
                                              <w:divBdr>
                                                <w:top w:val="none" w:sz="0" w:space="0" w:color="auto"/>
                                                <w:left w:val="none" w:sz="0" w:space="0" w:color="auto"/>
                                                <w:bottom w:val="none" w:sz="0" w:space="0" w:color="auto"/>
                                                <w:right w:val="none" w:sz="0" w:space="0" w:color="auto"/>
                                              </w:divBdr>
                                              <w:divsChild>
                                                <w:div w:id="1854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936014">
      <w:bodyDiv w:val="1"/>
      <w:marLeft w:val="0"/>
      <w:marRight w:val="0"/>
      <w:marTop w:val="0"/>
      <w:marBottom w:val="0"/>
      <w:divBdr>
        <w:top w:val="none" w:sz="0" w:space="0" w:color="auto"/>
        <w:left w:val="none" w:sz="0" w:space="0" w:color="auto"/>
        <w:bottom w:val="none" w:sz="0" w:space="0" w:color="auto"/>
        <w:right w:val="none" w:sz="0" w:space="0" w:color="auto"/>
      </w:divBdr>
      <w:divsChild>
        <w:div w:id="838496270">
          <w:marLeft w:val="0"/>
          <w:marRight w:val="0"/>
          <w:marTop w:val="0"/>
          <w:marBottom w:val="0"/>
          <w:divBdr>
            <w:top w:val="none" w:sz="0" w:space="0" w:color="auto"/>
            <w:left w:val="none" w:sz="0" w:space="0" w:color="auto"/>
            <w:bottom w:val="none" w:sz="0" w:space="0" w:color="auto"/>
            <w:right w:val="none" w:sz="0" w:space="0" w:color="auto"/>
          </w:divBdr>
        </w:div>
      </w:divsChild>
    </w:div>
    <w:div w:id="1779328109">
      <w:bodyDiv w:val="1"/>
      <w:marLeft w:val="0"/>
      <w:marRight w:val="0"/>
      <w:marTop w:val="0"/>
      <w:marBottom w:val="0"/>
      <w:divBdr>
        <w:top w:val="none" w:sz="0" w:space="0" w:color="auto"/>
        <w:left w:val="none" w:sz="0" w:space="0" w:color="auto"/>
        <w:bottom w:val="none" w:sz="0" w:space="0" w:color="auto"/>
        <w:right w:val="none" w:sz="0" w:space="0" w:color="auto"/>
      </w:divBdr>
      <w:divsChild>
        <w:div w:id="452754994">
          <w:marLeft w:val="0"/>
          <w:marRight w:val="501"/>
          <w:marTop w:val="0"/>
          <w:marBottom w:val="0"/>
          <w:divBdr>
            <w:top w:val="none" w:sz="0" w:space="0" w:color="auto"/>
            <w:left w:val="none" w:sz="0" w:space="0" w:color="auto"/>
            <w:bottom w:val="none" w:sz="0" w:space="0" w:color="auto"/>
            <w:right w:val="none" w:sz="0" w:space="0" w:color="auto"/>
          </w:divBdr>
        </w:div>
      </w:divsChild>
    </w:div>
    <w:div w:id="1781678826">
      <w:bodyDiv w:val="1"/>
      <w:marLeft w:val="0"/>
      <w:marRight w:val="0"/>
      <w:marTop w:val="0"/>
      <w:marBottom w:val="0"/>
      <w:divBdr>
        <w:top w:val="none" w:sz="0" w:space="0" w:color="auto"/>
        <w:left w:val="none" w:sz="0" w:space="0" w:color="auto"/>
        <w:bottom w:val="none" w:sz="0" w:space="0" w:color="auto"/>
        <w:right w:val="none" w:sz="0" w:space="0" w:color="auto"/>
      </w:divBdr>
      <w:divsChild>
        <w:div w:id="367411744">
          <w:marLeft w:val="0"/>
          <w:marRight w:val="501"/>
          <w:marTop w:val="0"/>
          <w:marBottom w:val="0"/>
          <w:divBdr>
            <w:top w:val="none" w:sz="0" w:space="0" w:color="auto"/>
            <w:left w:val="none" w:sz="0" w:space="0" w:color="auto"/>
            <w:bottom w:val="none" w:sz="0" w:space="0" w:color="auto"/>
            <w:right w:val="none" w:sz="0" w:space="0" w:color="auto"/>
          </w:divBdr>
        </w:div>
      </w:divsChild>
    </w:div>
    <w:div w:id="1811094051">
      <w:bodyDiv w:val="1"/>
      <w:marLeft w:val="0"/>
      <w:marRight w:val="0"/>
      <w:marTop w:val="0"/>
      <w:marBottom w:val="0"/>
      <w:divBdr>
        <w:top w:val="none" w:sz="0" w:space="0" w:color="auto"/>
        <w:left w:val="none" w:sz="0" w:space="0" w:color="auto"/>
        <w:bottom w:val="none" w:sz="0" w:space="0" w:color="auto"/>
        <w:right w:val="none" w:sz="0" w:space="0" w:color="auto"/>
      </w:divBdr>
      <w:divsChild>
        <w:div w:id="760949202">
          <w:marLeft w:val="0"/>
          <w:marRight w:val="0"/>
          <w:marTop w:val="0"/>
          <w:marBottom w:val="0"/>
          <w:divBdr>
            <w:top w:val="none" w:sz="0" w:space="0" w:color="auto"/>
            <w:left w:val="none" w:sz="0" w:space="0" w:color="auto"/>
            <w:bottom w:val="none" w:sz="0" w:space="0" w:color="auto"/>
            <w:right w:val="none" w:sz="0" w:space="0" w:color="auto"/>
          </w:divBdr>
        </w:div>
      </w:divsChild>
    </w:div>
    <w:div w:id="2012174019">
      <w:bodyDiv w:val="1"/>
      <w:marLeft w:val="0"/>
      <w:marRight w:val="0"/>
      <w:marTop w:val="0"/>
      <w:marBottom w:val="0"/>
      <w:divBdr>
        <w:top w:val="none" w:sz="0" w:space="0" w:color="auto"/>
        <w:left w:val="none" w:sz="0" w:space="0" w:color="auto"/>
        <w:bottom w:val="none" w:sz="0" w:space="0" w:color="auto"/>
        <w:right w:val="none" w:sz="0" w:space="0" w:color="auto"/>
      </w:divBdr>
      <w:divsChild>
        <w:div w:id="2136949454">
          <w:marLeft w:val="0"/>
          <w:marRight w:val="0"/>
          <w:marTop w:val="0"/>
          <w:marBottom w:val="0"/>
          <w:divBdr>
            <w:top w:val="none" w:sz="0" w:space="0" w:color="auto"/>
            <w:left w:val="none" w:sz="0" w:space="0" w:color="auto"/>
            <w:bottom w:val="none" w:sz="0" w:space="0" w:color="auto"/>
            <w:right w:val="none" w:sz="0" w:space="0" w:color="auto"/>
          </w:divBdr>
        </w:div>
      </w:divsChild>
    </w:div>
    <w:div w:id="2018650493">
      <w:bodyDiv w:val="1"/>
      <w:marLeft w:val="0"/>
      <w:marRight w:val="0"/>
      <w:marTop w:val="0"/>
      <w:marBottom w:val="0"/>
      <w:divBdr>
        <w:top w:val="none" w:sz="0" w:space="0" w:color="auto"/>
        <w:left w:val="none" w:sz="0" w:space="0" w:color="auto"/>
        <w:bottom w:val="none" w:sz="0" w:space="0" w:color="auto"/>
        <w:right w:val="none" w:sz="0" w:space="0" w:color="auto"/>
      </w:divBdr>
      <w:divsChild>
        <w:div w:id="11602703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parlament.ba/olaw/OLawDetails?lawId=9259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2305-5AE7-41DD-A393-22D480B1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3488</Words>
  <Characters>21975</Characters>
  <Application>Microsoft Office Word</Application>
  <DocSecurity>0</DocSecurity>
  <Lines>183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Primjenjivost zakona  u predmetima ratnih zločina na području BiH</vt:lpstr>
      <vt:lpstr>Primjenjivost zakona  u predmetima ratnih zločina na području BiH</vt:lpstr>
    </vt:vector>
  </TitlesOfParts>
  <Company>Sud Bosne i Hercegovine</Company>
  <LinksUpToDate>false</LinksUpToDate>
  <CharactersWithSpaces>25413</CharactersWithSpaces>
  <SharedDoc>false</SharedDoc>
  <HLinks>
    <vt:vector size="6" baseType="variant">
      <vt:variant>
        <vt:i4>5898259</vt:i4>
      </vt:variant>
      <vt:variant>
        <vt:i4>0</vt:i4>
      </vt:variant>
      <vt:variant>
        <vt:i4>0</vt:i4>
      </vt:variant>
      <vt:variant>
        <vt:i4>5</vt:i4>
      </vt:variant>
      <vt:variant>
        <vt:lpwstr>https://www.parlament.ba/olaw/OLawDetails?lawId=92598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Primjenjivost zakona  u predmetima ratnih zločina na području BiH</dc:title>
  <dc:subject/>
  <dc:creator>MIR</dc:creator>
  <cp:keywords/>
  <cp:lastModifiedBy>ES</cp:lastModifiedBy>
  <cp:revision>2</cp:revision>
  <cp:lastPrinted>2011-12-21T08:10:00Z</cp:lastPrinted>
  <dcterms:created xsi:type="dcterms:W3CDTF">2022-10-11T08:43:00Z</dcterms:created>
  <dcterms:modified xsi:type="dcterms:W3CDTF">2022-10-11T08:43:00Z</dcterms:modified>
</cp:coreProperties>
</file>