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364F" w14:textId="06123B40" w:rsidR="009D28EA" w:rsidRPr="001203BD" w:rsidRDefault="00311D21" w:rsidP="00994055">
      <w:pPr>
        <w:spacing w:after="120"/>
        <w:ind w:right="-7"/>
        <w:jc w:val="both"/>
        <w:rPr>
          <w:lang w:val="hr-HR"/>
        </w:rPr>
      </w:pPr>
      <w:r w:rsidRPr="001203BD">
        <w:rPr>
          <w:lang w:val="hr-HR"/>
        </w:rPr>
        <w:t xml:space="preserve">Mirza </w:t>
      </w:r>
      <w:r w:rsidR="008B2DA3" w:rsidRPr="001203BD">
        <w:rPr>
          <w:lang w:val="hr-HR"/>
        </w:rPr>
        <w:t>H.</w:t>
      </w:r>
      <w:r w:rsidR="005910C7">
        <w:rPr>
          <w:lang w:val="hr-HR"/>
        </w:rPr>
        <w:t xml:space="preserve"> </w:t>
      </w:r>
      <w:proofErr w:type="spellStart"/>
      <w:r w:rsidR="008B2DA3" w:rsidRPr="001203BD">
        <w:rPr>
          <w:lang w:val="hr-HR"/>
        </w:rPr>
        <w:t>Omerović</w:t>
      </w:r>
      <w:proofErr w:type="spellEnd"/>
      <w:r w:rsidR="003B6124" w:rsidRPr="001203BD">
        <w:rPr>
          <w:rStyle w:val="Funotenzeichen"/>
          <w:lang w:val="hr-HR"/>
        </w:rPr>
        <w:footnoteReference w:customMarkFollows="1" w:id="1"/>
        <w:sym w:font="Symbol" w:char="F02A"/>
      </w:r>
    </w:p>
    <w:p w14:paraId="1859D9E4" w14:textId="77777777" w:rsidR="00311D21" w:rsidRPr="001203BD" w:rsidRDefault="00311D21" w:rsidP="00994055">
      <w:pPr>
        <w:spacing w:after="120"/>
        <w:ind w:right="-7"/>
        <w:jc w:val="both"/>
        <w:rPr>
          <w:b/>
          <w:sz w:val="26"/>
          <w:szCs w:val="26"/>
          <w:lang w:val="hr-HR"/>
        </w:rPr>
      </w:pPr>
    </w:p>
    <w:p w14:paraId="4A972BB9" w14:textId="23018E9D" w:rsidR="006116B8" w:rsidRDefault="009E67BC" w:rsidP="005332E7">
      <w:pPr>
        <w:spacing w:after="120"/>
        <w:ind w:right="-7" w:firstLine="720"/>
        <w:jc w:val="center"/>
        <w:rPr>
          <w:b/>
          <w:lang w:val="pl-PL"/>
        </w:rPr>
      </w:pPr>
      <w:proofErr w:type="spellStart"/>
      <w:r>
        <w:rPr>
          <w:b/>
          <w:lang w:val="pl-PL"/>
        </w:rPr>
        <w:t>S</w:t>
      </w:r>
      <w:r w:rsidRPr="009E67BC">
        <w:rPr>
          <w:b/>
          <w:lang w:val="pl-PL"/>
        </w:rPr>
        <w:t>igurnosne</w:t>
      </w:r>
      <w:proofErr w:type="spellEnd"/>
      <w:r w:rsidRPr="009E67BC">
        <w:rPr>
          <w:b/>
          <w:lang w:val="pl-PL"/>
        </w:rPr>
        <w:t xml:space="preserve"> </w:t>
      </w:r>
      <w:proofErr w:type="spellStart"/>
      <w:r w:rsidRPr="009E67BC">
        <w:rPr>
          <w:b/>
          <w:lang w:val="pl-PL"/>
        </w:rPr>
        <w:t>provjere</w:t>
      </w:r>
      <w:proofErr w:type="spellEnd"/>
      <w:r w:rsidRPr="009E67BC">
        <w:rPr>
          <w:b/>
          <w:lang w:val="pl-PL"/>
        </w:rPr>
        <w:t xml:space="preserve"> u </w:t>
      </w:r>
      <w:proofErr w:type="spellStart"/>
      <w:r w:rsidRPr="009E67BC">
        <w:rPr>
          <w:b/>
          <w:lang w:val="pl-PL"/>
        </w:rPr>
        <w:t>sistemu</w:t>
      </w:r>
      <w:proofErr w:type="spellEnd"/>
      <w:r w:rsidRPr="009E67BC">
        <w:rPr>
          <w:b/>
          <w:lang w:val="pl-PL"/>
        </w:rPr>
        <w:t xml:space="preserve"> </w:t>
      </w:r>
      <w:proofErr w:type="spellStart"/>
      <w:r w:rsidRPr="009E67BC">
        <w:rPr>
          <w:b/>
          <w:lang w:val="pl-PL"/>
        </w:rPr>
        <w:t>provjere</w:t>
      </w:r>
      <w:proofErr w:type="spellEnd"/>
      <w:r w:rsidRPr="009E67BC">
        <w:rPr>
          <w:b/>
          <w:lang w:val="pl-PL"/>
        </w:rPr>
        <w:t xml:space="preserve"> </w:t>
      </w:r>
      <w:proofErr w:type="spellStart"/>
      <w:r w:rsidRPr="009E67BC">
        <w:rPr>
          <w:b/>
          <w:lang w:val="pl-PL"/>
        </w:rPr>
        <w:t>integriteta</w:t>
      </w:r>
      <w:proofErr w:type="spellEnd"/>
      <w:r w:rsidRPr="009E67BC">
        <w:rPr>
          <w:b/>
          <w:lang w:val="pl-PL"/>
        </w:rPr>
        <w:t xml:space="preserve"> </w:t>
      </w:r>
      <w:r w:rsidR="005332E7">
        <w:rPr>
          <w:b/>
          <w:lang w:val="pl-PL"/>
        </w:rPr>
        <w:t xml:space="preserve"> </w:t>
      </w:r>
      <w:proofErr w:type="spellStart"/>
      <w:r w:rsidRPr="009E67BC">
        <w:rPr>
          <w:b/>
          <w:lang w:val="pl-PL"/>
        </w:rPr>
        <w:t>nosilaca</w:t>
      </w:r>
      <w:proofErr w:type="spellEnd"/>
      <w:r w:rsidRPr="009E67BC">
        <w:rPr>
          <w:b/>
          <w:lang w:val="pl-PL"/>
        </w:rPr>
        <w:t xml:space="preserve"> </w:t>
      </w:r>
      <w:proofErr w:type="spellStart"/>
      <w:r w:rsidRPr="009E67BC">
        <w:rPr>
          <w:b/>
          <w:lang w:val="pl-PL"/>
        </w:rPr>
        <w:t>pravosudnih</w:t>
      </w:r>
      <w:proofErr w:type="spellEnd"/>
      <w:r w:rsidRPr="009E67BC">
        <w:rPr>
          <w:b/>
          <w:lang w:val="pl-PL"/>
        </w:rPr>
        <w:t xml:space="preserve"> </w:t>
      </w:r>
      <w:proofErr w:type="spellStart"/>
      <w:r w:rsidRPr="009E67BC">
        <w:rPr>
          <w:b/>
          <w:lang w:val="pl-PL"/>
        </w:rPr>
        <w:t>funkcija</w:t>
      </w:r>
      <w:proofErr w:type="spellEnd"/>
    </w:p>
    <w:p w14:paraId="24753B6A" w14:textId="77777777" w:rsidR="009E67BC" w:rsidRPr="009E67BC" w:rsidRDefault="009E67BC" w:rsidP="00994055">
      <w:pPr>
        <w:spacing w:after="120"/>
        <w:ind w:right="-7" w:firstLine="720"/>
        <w:rPr>
          <w:b/>
          <w:lang w:val="pl-PL"/>
        </w:rPr>
      </w:pPr>
    </w:p>
    <w:p w14:paraId="407517DE" w14:textId="77777777" w:rsidR="00DB3674" w:rsidRPr="005332E7" w:rsidRDefault="00DB3674" w:rsidP="001911DA">
      <w:pPr>
        <w:spacing w:after="120"/>
        <w:ind w:right="-7"/>
        <w:jc w:val="both"/>
        <w:rPr>
          <w:lang w:val="hr-HR"/>
        </w:rPr>
      </w:pPr>
      <w:r w:rsidRPr="005332E7">
        <w:rPr>
          <w:lang w:val="hr-HR"/>
        </w:rPr>
        <w:t>Sadržaj</w:t>
      </w:r>
      <w:r w:rsidR="00355E60" w:rsidRPr="005332E7">
        <w:rPr>
          <w:lang w:val="hr-HR"/>
        </w:rPr>
        <w:t>:</w:t>
      </w:r>
    </w:p>
    <w:p w14:paraId="672168A0" w14:textId="77777777" w:rsidR="00DB3674" w:rsidRPr="008D587C" w:rsidRDefault="00DB3674" w:rsidP="005F66EB">
      <w:pPr>
        <w:numPr>
          <w:ilvl w:val="0"/>
          <w:numId w:val="12"/>
        </w:numPr>
        <w:ind w:right="-6"/>
        <w:jc w:val="both"/>
        <w:rPr>
          <w:b/>
          <w:bCs/>
          <w:lang w:val="hr-HR"/>
        </w:rPr>
      </w:pPr>
      <w:r w:rsidRPr="008D587C">
        <w:rPr>
          <w:b/>
          <w:bCs/>
          <w:lang w:val="hr-HR"/>
        </w:rPr>
        <w:t>Uvod</w:t>
      </w:r>
    </w:p>
    <w:p w14:paraId="07B7BF2F" w14:textId="77777777" w:rsidR="00355E60" w:rsidRDefault="009E67BC" w:rsidP="00355E60">
      <w:pPr>
        <w:numPr>
          <w:ilvl w:val="0"/>
          <w:numId w:val="12"/>
        </w:numPr>
        <w:ind w:right="-6"/>
        <w:jc w:val="both"/>
        <w:rPr>
          <w:b/>
          <w:bCs/>
          <w:lang w:val="hr-HR"/>
        </w:rPr>
      </w:pPr>
      <w:r>
        <w:rPr>
          <w:b/>
          <w:bCs/>
          <w:lang w:val="hr-HR"/>
        </w:rPr>
        <w:t>Zakon o Visokom sudskom i tužilačkom vijeću BiH</w:t>
      </w:r>
      <w:r w:rsidR="00937778">
        <w:rPr>
          <w:b/>
          <w:bCs/>
          <w:lang w:val="hr-HR"/>
        </w:rPr>
        <w:t xml:space="preserve"> </w:t>
      </w:r>
      <w:r w:rsidR="00937778" w:rsidRPr="00937778">
        <w:rPr>
          <w:b/>
          <w:bCs/>
          <w:lang w:val="hr-HR"/>
        </w:rPr>
        <w:t>i integritet nosilaca pravosudnih funkcija</w:t>
      </w:r>
    </w:p>
    <w:p w14:paraId="2F2E279F" w14:textId="77777777" w:rsidR="00E511FC" w:rsidRPr="00A86D91" w:rsidRDefault="00E511FC" w:rsidP="00E511FC">
      <w:pPr>
        <w:ind w:left="567" w:right="-6"/>
        <w:jc w:val="both"/>
        <w:rPr>
          <w:i/>
          <w:iCs/>
          <w:lang w:val="hr-HR"/>
        </w:rPr>
      </w:pPr>
      <w:r w:rsidRPr="00A86D91">
        <w:rPr>
          <w:i/>
          <w:iCs/>
          <w:lang w:val="hr-HR"/>
        </w:rPr>
        <w:t xml:space="preserve">2.1. </w:t>
      </w:r>
      <w:r w:rsidR="009673C2" w:rsidRPr="00A86D91">
        <w:rPr>
          <w:i/>
          <w:iCs/>
          <w:lang w:val="hr-HR"/>
        </w:rPr>
        <w:t>Članstvo u političkoj stranci kandidata za pravosudnu funkciju</w:t>
      </w:r>
    </w:p>
    <w:p w14:paraId="18B2C56C" w14:textId="77777777" w:rsidR="00E511FC" w:rsidRPr="00A86D91" w:rsidRDefault="00E511FC" w:rsidP="00E511FC">
      <w:pPr>
        <w:ind w:left="567" w:right="-6"/>
        <w:jc w:val="both"/>
        <w:rPr>
          <w:i/>
          <w:iCs/>
          <w:lang w:val="hr-HR"/>
        </w:rPr>
      </w:pPr>
      <w:r w:rsidRPr="00A86D91">
        <w:rPr>
          <w:i/>
          <w:iCs/>
          <w:lang w:val="hr-HR"/>
        </w:rPr>
        <w:t>2.2. Krivična osuda kandidata za pravosudnu funkciju</w:t>
      </w:r>
    </w:p>
    <w:p w14:paraId="1D4C7EBA" w14:textId="77777777" w:rsidR="009A15C4" w:rsidRPr="00A86D91" w:rsidRDefault="009A15C4" w:rsidP="00E511FC">
      <w:pPr>
        <w:ind w:left="567" w:right="-6"/>
        <w:jc w:val="both"/>
        <w:rPr>
          <w:i/>
          <w:iCs/>
          <w:lang w:val="hr-HR"/>
        </w:rPr>
      </w:pPr>
      <w:r w:rsidRPr="00A86D91">
        <w:rPr>
          <w:i/>
          <w:iCs/>
          <w:lang w:val="hr-HR"/>
        </w:rPr>
        <w:t xml:space="preserve">2.3. </w:t>
      </w:r>
      <w:proofErr w:type="spellStart"/>
      <w:r w:rsidRPr="00A86D91">
        <w:rPr>
          <w:i/>
          <w:iCs/>
          <w:lang w:val="hr-HR"/>
        </w:rPr>
        <w:t>Finansijski</w:t>
      </w:r>
      <w:proofErr w:type="spellEnd"/>
      <w:r w:rsidRPr="00A86D91">
        <w:rPr>
          <w:i/>
          <w:iCs/>
          <w:lang w:val="hr-HR"/>
        </w:rPr>
        <w:t xml:space="preserve"> izvještaji sudija i tužilaca</w:t>
      </w:r>
    </w:p>
    <w:p w14:paraId="1AA66BC8" w14:textId="77777777" w:rsidR="00E511FC" w:rsidRPr="008D587C" w:rsidRDefault="009673C2" w:rsidP="00355E60">
      <w:pPr>
        <w:numPr>
          <w:ilvl w:val="0"/>
          <w:numId w:val="12"/>
        </w:numPr>
        <w:ind w:right="-6"/>
        <w:jc w:val="both"/>
        <w:rPr>
          <w:b/>
          <w:bCs/>
          <w:lang w:val="hr-HR"/>
        </w:rPr>
      </w:pPr>
      <w:r w:rsidRPr="009673C2">
        <w:rPr>
          <w:b/>
          <w:bCs/>
          <w:lang w:val="hr-HR"/>
        </w:rPr>
        <w:t>Prijedlog zakona o izmjenama i dopunama Zakona o Visokom sudskom i tužilačkom vijeću BiH</w:t>
      </w:r>
    </w:p>
    <w:p w14:paraId="7D8192B2" w14:textId="77777777" w:rsidR="00E511FC" w:rsidRDefault="00DF613C" w:rsidP="0033354B">
      <w:pPr>
        <w:numPr>
          <w:ilvl w:val="0"/>
          <w:numId w:val="12"/>
        </w:numPr>
        <w:ind w:left="0" w:right="-6" w:firstLine="0"/>
        <w:jc w:val="both"/>
        <w:rPr>
          <w:b/>
          <w:bCs/>
          <w:lang w:val="hr-HR"/>
        </w:rPr>
      </w:pPr>
      <w:r w:rsidRPr="00DF613C">
        <w:rPr>
          <w:b/>
          <w:bCs/>
          <w:lang w:val="hr-HR"/>
        </w:rPr>
        <w:t>Sigurnosne provjere u BiH</w:t>
      </w:r>
      <w:r w:rsidR="00E511FC" w:rsidRPr="00E511FC">
        <w:rPr>
          <w:b/>
          <w:bCs/>
          <w:lang w:val="hr-HR"/>
        </w:rPr>
        <w:t xml:space="preserve"> </w:t>
      </w:r>
    </w:p>
    <w:p w14:paraId="6EE5BBF5" w14:textId="77777777" w:rsidR="00311D21" w:rsidRPr="001203BD" w:rsidRDefault="00457F53" w:rsidP="00994055">
      <w:pPr>
        <w:numPr>
          <w:ilvl w:val="0"/>
          <w:numId w:val="12"/>
        </w:numPr>
        <w:spacing w:after="120"/>
        <w:ind w:right="-7"/>
        <w:jc w:val="both"/>
        <w:rPr>
          <w:lang w:val="hr-HR"/>
        </w:rPr>
      </w:pPr>
      <w:r>
        <w:rPr>
          <w:b/>
          <w:bCs/>
          <w:lang w:val="hr-HR"/>
        </w:rPr>
        <w:t>Zaključak - m</w:t>
      </w:r>
      <w:r w:rsidR="002D6F49" w:rsidRPr="002D6F49">
        <w:rPr>
          <w:b/>
          <w:bCs/>
          <w:lang w:val="hr-HR"/>
        </w:rPr>
        <w:t xml:space="preserve">ogućnosti primjene Zakona o zaštiti tajnih podataka na nosioce pravosudnih funkcija </w:t>
      </w:r>
      <w:r w:rsidR="00DB3674" w:rsidRPr="001203BD">
        <w:rPr>
          <w:lang w:val="hr-HR"/>
        </w:rPr>
        <w:fldChar w:fldCharType="begin"/>
      </w:r>
      <w:r w:rsidR="00DB3674" w:rsidRPr="001203BD">
        <w:rPr>
          <w:lang w:val="hr-HR"/>
        </w:rPr>
        <w:instrText xml:space="preserve"> TOC \h \z \t "Naslov1;1;Naslov2;2;Naslov3;3" </w:instrText>
      </w:r>
      <w:r w:rsidR="00DB3674" w:rsidRPr="001203BD">
        <w:rPr>
          <w:lang w:val="hr-HR"/>
        </w:rPr>
        <w:fldChar w:fldCharType="separate"/>
      </w:r>
    </w:p>
    <w:p w14:paraId="7E68AB99" w14:textId="77777777" w:rsidR="00DB3674" w:rsidRDefault="00DB3674" w:rsidP="00994055">
      <w:pPr>
        <w:pStyle w:val="Verzeichnis1"/>
        <w:spacing w:after="120"/>
        <w:rPr>
          <w:lang w:val="hr-HR"/>
        </w:rPr>
      </w:pPr>
      <w:r w:rsidRPr="001203BD">
        <w:rPr>
          <w:lang w:val="hr-HR"/>
        </w:rPr>
        <w:fldChar w:fldCharType="end"/>
      </w:r>
      <w:r w:rsidR="00570715" w:rsidRPr="001203BD">
        <w:rPr>
          <w:lang w:val="hr-HR"/>
        </w:rPr>
        <w:t xml:space="preserve"> </w:t>
      </w:r>
    </w:p>
    <w:p w14:paraId="108C07B1" w14:textId="77777777" w:rsidR="005F6E2B" w:rsidRPr="005F6E2B" w:rsidRDefault="005F6E2B" w:rsidP="005F6E2B">
      <w:pPr>
        <w:rPr>
          <w:b/>
          <w:bCs/>
          <w:lang w:val="hr-HR"/>
        </w:rPr>
      </w:pPr>
      <w:r w:rsidRPr="005F6E2B">
        <w:rPr>
          <w:b/>
          <w:bCs/>
          <w:lang w:val="hr-HR"/>
        </w:rPr>
        <w:t>1. Uvod</w:t>
      </w:r>
    </w:p>
    <w:p w14:paraId="670FD58F" w14:textId="77777777" w:rsidR="005F6E2B" w:rsidRDefault="005F6E2B" w:rsidP="006E68A8">
      <w:pPr>
        <w:pStyle w:val="Naslov1"/>
      </w:pPr>
    </w:p>
    <w:p w14:paraId="6580BAFE" w14:textId="77777777" w:rsidR="005909B3" w:rsidRDefault="00956582" w:rsidP="006E68A8">
      <w:pPr>
        <w:pStyle w:val="Naslov1"/>
      </w:pPr>
      <w:r>
        <w:t xml:space="preserve">Tokom 2017. godine, započeo je tzv. </w:t>
      </w:r>
      <w:proofErr w:type="spellStart"/>
      <w:r w:rsidRPr="00B57981">
        <w:rPr>
          <w:i/>
          <w:iCs/>
        </w:rPr>
        <w:t>vetting</w:t>
      </w:r>
      <w:proofErr w:type="spellEnd"/>
      <w:r>
        <w:t xml:space="preserve"> proces</w:t>
      </w:r>
      <w:r w:rsidR="00E765D1">
        <w:t>, odnosno lustracij</w:t>
      </w:r>
      <w:r w:rsidR="006476A8">
        <w:t>a</w:t>
      </w:r>
      <w:r w:rsidR="00E765D1">
        <w:t xml:space="preserve"> u pravosuđu</w:t>
      </w:r>
      <w:r>
        <w:t xml:space="preserve"> u Republici Albaniji. Počevši od 2014. godine, </w:t>
      </w:r>
      <w:r w:rsidR="009E67BC">
        <w:t>i</w:t>
      </w:r>
      <w:r>
        <w:t xml:space="preserve">zvještaji </w:t>
      </w:r>
      <w:r w:rsidR="009E67BC">
        <w:t xml:space="preserve">Evropske komisije </w:t>
      </w:r>
      <w:r>
        <w:t xml:space="preserve">o napretku ove zemlje naglašavali su </w:t>
      </w:r>
      <w:r w:rsidR="006119A7">
        <w:t xml:space="preserve">potrebu intervencije u pravosuđu. Visok nivo korumpiranosti, postojanje „kulture nekažnjivosti“ i nedostatak povjerenja građana u pravosudni sistem su predstavljali </w:t>
      </w:r>
      <w:r w:rsidR="000C1C20">
        <w:t xml:space="preserve">glavne slabosti albanskog pravosudnog sistema. </w:t>
      </w:r>
      <w:r w:rsidR="00E765D1" w:rsidRPr="00E765D1">
        <w:t>Lustracija</w:t>
      </w:r>
      <w:r w:rsidR="000C1C20" w:rsidRPr="00E765D1">
        <w:t xml:space="preserve"> </w:t>
      </w:r>
      <w:r w:rsidR="000C1C20">
        <w:t>je podrazumijeva</w:t>
      </w:r>
      <w:r w:rsidR="00E765D1">
        <w:t>la</w:t>
      </w:r>
      <w:r w:rsidR="000C1C20">
        <w:t xml:space="preserve"> vršenje sigurnosnih </w:t>
      </w:r>
      <w:r w:rsidR="00B57981">
        <w:t>i imovinskih provjera sudija</w:t>
      </w:r>
      <w:r w:rsidR="006476A8">
        <w:t xml:space="preserve"> i tužilaca</w:t>
      </w:r>
      <w:r w:rsidR="000C1C20">
        <w:t xml:space="preserve">, </w:t>
      </w:r>
      <w:r w:rsidR="00B57981">
        <w:t xml:space="preserve">kao i reviziju njihovog radnog učinka. Nakon potrebnih izmjena </w:t>
      </w:r>
      <w:r w:rsidR="00937778">
        <w:t xml:space="preserve">albanskog </w:t>
      </w:r>
      <w:r w:rsidR="00B57981">
        <w:t>Ustava i donošenja</w:t>
      </w:r>
      <w:r w:rsidR="009E67BC">
        <w:t xml:space="preserve"> potrebnog</w:t>
      </w:r>
      <w:r w:rsidR="00B57981">
        <w:t xml:space="preserve"> </w:t>
      </w:r>
      <w:proofErr w:type="spellStart"/>
      <w:r w:rsidR="00522483" w:rsidRPr="00522483">
        <w:rPr>
          <w:i/>
          <w:iCs/>
        </w:rPr>
        <w:t>lex</w:t>
      </w:r>
      <w:proofErr w:type="spellEnd"/>
      <w:r w:rsidR="00522483" w:rsidRPr="00522483">
        <w:rPr>
          <w:i/>
          <w:iCs/>
        </w:rPr>
        <w:t xml:space="preserve"> </w:t>
      </w:r>
      <w:proofErr w:type="spellStart"/>
      <w:r w:rsidR="00522483" w:rsidRPr="00522483">
        <w:rPr>
          <w:i/>
          <w:iCs/>
        </w:rPr>
        <w:t>specialis</w:t>
      </w:r>
      <w:proofErr w:type="spellEnd"/>
      <w:r w:rsidR="00B57981">
        <w:t>, formirana je nezavisna komisija</w:t>
      </w:r>
      <w:r w:rsidR="00356249">
        <w:t xml:space="preserve"> koja je bila zadužena da provede </w:t>
      </w:r>
      <w:r w:rsidR="00E765D1">
        <w:t>lustraciju</w:t>
      </w:r>
      <w:r w:rsidR="00356249">
        <w:t>, kao i posebno Apelaciono vijeće Ustavno</w:t>
      </w:r>
      <w:r w:rsidR="00522483">
        <w:t>g</w:t>
      </w:r>
      <w:r w:rsidR="00356249">
        <w:t xml:space="preserve"> sud</w:t>
      </w:r>
      <w:r w:rsidR="00522483">
        <w:t>a</w:t>
      </w:r>
      <w:r w:rsidR="00937778">
        <w:t xml:space="preserve"> Albanije</w:t>
      </w:r>
      <w:r w:rsidR="00356249">
        <w:t xml:space="preserve">, koje će odlučivati po izjavljenim žalbama, a </w:t>
      </w:r>
      <w:r w:rsidR="006476A8">
        <w:t>proces je nadgledalo međunarodno tijelo za monitoring koje su predstavljal</w:t>
      </w:r>
      <w:r w:rsidR="004D72CD">
        <w:t>e</w:t>
      </w:r>
      <w:r w:rsidR="006476A8">
        <w:t xml:space="preserve"> </w:t>
      </w:r>
      <w:proofErr w:type="spellStart"/>
      <w:r w:rsidR="006476A8">
        <w:t>sudije</w:t>
      </w:r>
      <w:proofErr w:type="spellEnd"/>
      <w:r w:rsidR="006476A8">
        <w:t xml:space="preserve"> iz zemalja članica EU</w:t>
      </w:r>
      <w:r w:rsidR="004D631E">
        <w:t xml:space="preserve">. Proces je započeo 2017. godine, nakon što je Ustavni sud odlučio o apelacijama kojima </w:t>
      </w:r>
      <w:r w:rsidR="004D72CD">
        <w:t>je</w:t>
      </w:r>
      <w:r w:rsidR="004D631E">
        <w:t xml:space="preserve"> dovođen</w:t>
      </w:r>
      <w:r w:rsidR="004D72CD">
        <w:t>o</w:t>
      </w:r>
      <w:r w:rsidR="004D631E">
        <w:t xml:space="preserve"> u pitanje nadležnosti novoformiranih tijela.</w:t>
      </w:r>
      <w:r w:rsidR="000C1C20">
        <w:rPr>
          <w:rStyle w:val="Funotenzeichen"/>
          <w:b/>
          <w:bCs/>
        </w:rPr>
        <w:footnoteReference w:id="2"/>
      </w:r>
      <w:r w:rsidR="000C1C20">
        <w:t xml:space="preserve"> </w:t>
      </w:r>
    </w:p>
    <w:p w14:paraId="1202B8E9" w14:textId="5587377B" w:rsidR="005F6E2B" w:rsidRDefault="00E765D1" w:rsidP="006E68A8">
      <w:pPr>
        <w:pStyle w:val="Naslov1"/>
      </w:pPr>
      <w:r>
        <w:t>Imajući u vidu komparativno slično stanje pravosudnog sistema u Bosni i Hercegovini</w:t>
      </w:r>
      <w:r w:rsidR="006476A8">
        <w:t xml:space="preserve"> i </w:t>
      </w:r>
      <w:proofErr w:type="spellStart"/>
      <w:r w:rsidR="006476A8">
        <w:t>regionu</w:t>
      </w:r>
      <w:proofErr w:type="spellEnd"/>
      <w:r w:rsidR="006476A8">
        <w:t xml:space="preserve">, </w:t>
      </w:r>
      <w:r w:rsidR="00F66D29">
        <w:t xml:space="preserve">koji su </w:t>
      </w:r>
      <w:proofErr w:type="spellStart"/>
      <w:r w:rsidR="00F66D29">
        <w:t>takođe</w:t>
      </w:r>
      <w:proofErr w:type="spellEnd"/>
      <w:r w:rsidR="00F66D29">
        <w:t xml:space="preserve"> </w:t>
      </w:r>
      <w:proofErr w:type="spellStart"/>
      <w:r w:rsidR="00F66D29">
        <w:t>demostrirali</w:t>
      </w:r>
      <w:proofErr w:type="spellEnd"/>
      <w:r w:rsidR="00F66D29">
        <w:t xml:space="preserve"> „</w:t>
      </w:r>
      <w:r w:rsidR="00F66D29" w:rsidRPr="00F66D29">
        <w:rPr>
          <w:i/>
          <w:iCs/>
        </w:rPr>
        <w:t>sindrom zarobljene države</w:t>
      </w:r>
      <w:r w:rsidR="00F66D29">
        <w:t>“</w:t>
      </w:r>
      <w:r w:rsidR="00937778">
        <w:rPr>
          <w:rStyle w:val="Funotenzeichen"/>
        </w:rPr>
        <w:footnoteReference w:id="3"/>
      </w:r>
      <w:r w:rsidR="007A31E8">
        <w:t>,</w:t>
      </w:r>
      <w:r w:rsidR="00F66D29">
        <w:t xml:space="preserve"> </w:t>
      </w:r>
      <w:r w:rsidR="006476A8">
        <w:t xml:space="preserve">lustracija u Albaniji je </w:t>
      </w:r>
      <w:r w:rsidR="006476A8">
        <w:lastRenderedPageBreak/>
        <w:t xml:space="preserve">privukla pažnju stručne i šire javnosti i u našoj zemlji, te su </w:t>
      </w:r>
      <w:r w:rsidR="00F66D29">
        <w:t>postavljena i pitanja mogućnosti i obima primjene albanskog modela kod nas.</w:t>
      </w:r>
      <w:r w:rsidR="00F66D29">
        <w:rPr>
          <w:rStyle w:val="Funotenzeichen"/>
          <w:b/>
          <w:bCs/>
        </w:rPr>
        <w:footnoteReference w:id="4"/>
      </w:r>
    </w:p>
    <w:p w14:paraId="0D7C78D2" w14:textId="4A3905D5" w:rsidR="007915E9" w:rsidRPr="006E68A8" w:rsidRDefault="006E68A8" w:rsidP="006E68A8">
      <w:pPr>
        <w:pStyle w:val="Naslov1"/>
      </w:pPr>
      <w:r w:rsidRPr="006E68A8">
        <w:t>Ovdje je potrebno napraviti</w:t>
      </w:r>
      <w:r>
        <w:t xml:space="preserve"> ključnu </w:t>
      </w:r>
      <w:r w:rsidR="008D53BE">
        <w:t>razliku</w:t>
      </w:r>
      <w:r>
        <w:t xml:space="preserve"> između </w:t>
      </w:r>
      <w:r w:rsidR="008D53BE">
        <w:t>oba</w:t>
      </w:r>
      <w:r>
        <w:t xml:space="preserve"> </w:t>
      </w:r>
      <w:r w:rsidR="007A31E8">
        <w:t xml:space="preserve">pravosudna </w:t>
      </w:r>
      <w:r>
        <w:t xml:space="preserve">sistema: prije provođenja </w:t>
      </w:r>
      <w:proofErr w:type="spellStart"/>
      <w:r>
        <w:t>lustrativnog</w:t>
      </w:r>
      <w:proofErr w:type="spellEnd"/>
      <w:r>
        <w:t xml:space="preserve"> procesa u </w:t>
      </w:r>
      <w:r w:rsidR="00831EB3">
        <w:t xml:space="preserve">Republici </w:t>
      </w:r>
      <w:r>
        <w:t xml:space="preserve">Albaniji, iako su postojali mehanizmi disciplinske odgovornosti sudija i tužilaca, </w:t>
      </w:r>
      <w:r w:rsidR="004D3278">
        <w:t>oni</w:t>
      </w:r>
      <w:r w:rsidR="00937778">
        <w:t xml:space="preserve"> se nisu pokazali efikasnim.</w:t>
      </w:r>
      <w:r>
        <w:t xml:space="preserve"> Neefikasnost redovnih korektivnih mehanizama nametala je potrebnu upotrebe vanredn</w:t>
      </w:r>
      <w:r w:rsidR="00522483">
        <w:t xml:space="preserve">og </w:t>
      </w:r>
      <w:r w:rsidR="009E67BC">
        <w:t>sredstva</w:t>
      </w:r>
      <w:r>
        <w:t xml:space="preserve">. S druge strane, i u vrijeme </w:t>
      </w:r>
      <w:r w:rsidR="00971FD5">
        <w:t xml:space="preserve">početka </w:t>
      </w:r>
      <w:proofErr w:type="spellStart"/>
      <w:r w:rsidR="00971FD5" w:rsidRPr="00971FD5">
        <w:rPr>
          <w:i/>
          <w:iCs/>
        </w:rPr>
        <w:t>vetting</w:t>
      </w:r>
      <w:r w:rsidR="004D3278">
        <w:rPr>
          <w:i/>
          <w:iCs/>
        </w:rPr>
        <w:t>a</w:t>
      </w:r>
      <w:proofErr w:type="spellEnd"/>
      <w:r w:rsidR="0045370E">
        <w:rPr>
          <w:i/>
          <w:iCs/>
        </w:rPr>
        <w:t>,</w:t>
      </w:r>
      <w:r w:rsidR="00971FD5">
        <w:t xml:space="preserve"> a i sad</w:t>
      </w:r>
      <w:r w:rsidR="00522483">
        <w:t>,</w:t>
      </w:r>
      <w:r w:rsidR="00971FD5">
        <w:t xml:space="preserve"> BiH je u samom vrhu zemalja članica Vijeća Evrope prema broju pokrenutih disciplinskih postupaka protiv sudija i tužilaca</w:t>
      </w:r>
      <w:r w:rsidR="007915E9">
        <w:t>.</w:t>
      </w:r>
      <w:r w:rsidR="004D3278">
        <w:t xml:space="preserve"> Jedno od pitanja</w:t>
      </w:r>
      <w:r w:rsidR="00522483">
        <w:t xml:space="preserve"> kojim</w:t>
      </w:r>
      <w:r w:rsidR="00E42103">
        <w:t>a</w:t>
      </w:r>
      <w:r w:rsidR="00522483">
        <w:t xml:space="preserve"> </w:t>
      </w:r>
      <w:r w:rsidR="008D53BE">
        <w:t xml:space="preserve">ću se ovdje </w:t>
      </w:r>
      <w:r w:rsidR="00522483">
        <w:t>bavi</w:t>
      </w:r>
      <w:r w:rsidR="008D53BE">
        <w:t>ti</w:t>
      </w:r>
      <w:r w:rsidR="00522483">
        <w:t xml:space="preserve"> </w:t>
      </w:r>
      <w:r w:rsidR="004D3278">
        <w:t xml:space="preserve">je </w:t>
      </w:r>
      <w:r w:rsidR="007915E9">
        <w:t xml:space="preserve">da li je isključivo sistem disciplinske odgovornosti sudija i tužilaca dovoljan i efikasan instrument za osiguranje integriteta </w:t>
      </w:r>
      <w:r w:rsidR="007A31E8">
        <w:t>nosilaca pravosudnih funkcija i pravosudnog sistema?</w:t>
      </w:r>
    </w:p>
    <w:p w14:paraId="7B33D046" w14:textId="77777777" w:rsidR="006E68A8" w:rsidRPr="005F6E2B" w:rsidRDefault="006E68A8" w:rsidP="006E68A8">
      <w:pPr>
        <w:pStyle w:val="Naslov1"/>
      </w:pPr>
    </w:p>
    <w:p w14:paraId="1C2C0995" w14:textId="08A19373" w:rsidR="00E511FC" w:rsidRPr="009D49CE" w:rsidRDefault="003562D8" w:rsidP="005441C0">
      <w:pPr>
        <w:spacing w:after="120"/>
        <w:ind w:right="-7"/>
        <w:jc w:val="both"/>
        <w:rPr>
          <w:b/>
          <w:bCs/>
          <w:lang w:val="hr-HR"/>
        </w:rPr>
      </w:pPr>
      <w:r>
        <w:rPr>
          <w:b/>
          <w:bCs/>
          <w:lang w:val="hr-HR"/>
        </w:rPr>
        <w:t xml:space="preserve">2. </w:t>
      </w:r>
      <w:r w:rsidR="007A31E8">
        <w:rPr>
          <w:b/>
          <w:bCs/>
          <w:lang w:val="hr-HR"/>
        </w:rPr>
        <w:t xml:space="preserve">Zakon o Visokom sudskom i tužilačkom vijeću BiH </w:t>
      </w:r>
      <w:bookmarkStart w:id="0" w:name="_Hlk103716766"/>
      <w:r w:rsidR="00937778">
        <w:rPr>
          <w:b/>
          <w:bCs/>
          <w:lang w:val="hr-HR"/>
        </w:rPr>
        <w:t xml:space="preserve">i integritet nosilaca pravosudnih funkcija </w:t>
      </w:r>
      <w:bookmarkEnd w:id="0"/>
    </w:p>
    <w:p w14:paraId="60786029" w14:textId="77777777" w:rsidR="005441C0" w:rsidRDefault="001256C5" w:rsidP="005441C0">
      <w:pPr>
        <w:spacing w:after="120"/>
        <w:ind w:right="-7"/>
        <w:jc w:val="both"/>
        <w:rPr>
          <w:lang w:val="hr-HR"/>
        </w:rPr>
      </w:pPr>
      <w:r>
        <w:rPr>
          <w:lang w:val="hr-HR"/>
        </w:rPr>
        <w:t>Zakon</w:t>
      </w:r>
      <w:r w:rsidR="00A328D3">
        <w:rPr>
          <w:lang w:val="hr-HR"/>
        </w:rPr>
        <w:t>om</w:t>
      </w:r>
      <w:r>
        <w:rPr>
          <w:lang w:val="hr-HR"/>
        </w:rPr>
        <w:t xml:space="preserve"> o </w:t>
      </w:r>
      <w:r w:rsidR="006167C3">
        <w:rPr>
          <w:lang w:val="hr-HR"/>
        </w:rPr>
        <w:t>Visoko</w:t>
      </w:r>
      <w:r>
        <w:rPr>
          <w:lang w:val="hr-HR"/>
        </w:rPr>
        <w:t>m</w:t>
      </w:r>
      <w:r w:rsidR="006167C3">
        <w:rPr>
          <w:lang w:val="hr-HR"/>
        </w:rPr>
        <w:t xml:space="preserve"> sudsko</w:t>
      </w:r>
      <w:r>
        <w:rPr>
          <w:lang w:val="hr-HR"/>
        </w:rPr>
        <w:t>m</w:t>
      </w:r>
      <w:r w:rsidR="006167C3">
        <w:rPr>
          <w:lang w:val="hr-HR"/>
        </w:rPr>
        <w:t xml:space="preserve"> i tužilačko</w:t>
      </w:r>
      <w:r>
        <w:rPr>
          <w:lang w:val="hr-HR"/>
        </w:rPr>
        <w:t>m</w:t>
      </w:r>
      <w:r w:rsidR="006167C3">
        <w:rPr>
          <w:lang w:val="hr-HR"/>
        </w:rPr>
        <w:t xml:space="preserve"> vijeć</w:t>
      </w:r>
      <w:r>
        <w:rPr>
          <w:lang w:val="hr-HR"/>
        </w:rPr>
        <w:t>u</w:t>
      </w:r>
      <w:r w:rsidR="006167C3">
        <w:rPr>
          <w:lang w:val="hr-HR"/>
        </w:rPr>
        <w:t xml:space="preserve"> BiH</w:t>
      </w:r>
      <w:r>
        <w:rPr>
          <w:rStyle w:val="Funotenzeichen"/>
          <w:lang w:val="hr-HR"/>
        </w:rPr>
        <w:footnoteReference w:id="5"/>
      </w:r>
      <w:r w:rsidR="006167C3">
        <w:rPr>
          <w:lang w:val="hr-HR"/>
        </w:rPr>
        <w:t xml:space="preserve"> (</w:t>
      </w:r>
      <w:r w:rsidR="00CF3739">
        <w:rPr>
          <w:lang w:val="hr-HR"/>
        </w:rPr>
        <w:t xml:space="preserve">Zakon o </w:t>
      </w:r>
      <w:r w:rsidR="006167C3">
        <w:rPr>
          <w:lang w:val="hr-HR"/>
        </w:rPr>
        <w:t xml:space="preserve">VSTV) </w:t>
      </w:r>
      <w:r>
        <w:rPr>
          <w:lang w:val="hr-HR"/>
        </w:rPr>
        <w:t xml:space="preserve">propisani su razlozi za prestanak mandata </w:t>
      </w:r>
      <w:proofErr w:type="spellStart"/>
      <w:r>
        <w:rPr>
          <w:lang w:val="hr-HR"/>
        </w:rPr>
        <w:t>sudije</w:t>
      </w:r>
      <w:proofErr w:type="spellEnd"/>
      <w:r>
        <w:rPr>
          <w:lang w:val="hr-HR"/>
        </w:rPr>
        <w:t xml:space="preserve"> i tužioca, kao i rukovodilaca pravosudnih institucija</w:t>
      </w:r>
      <w:r w:rsidR="00A328D3">
        <w:rPr>
          <w:rStyle w:val="Funotenzeichen"/>
          <w:lang w:val="hr-HR"/>
        </w:rPr>
        <w:footnoteReference w:id="6"/>
      </w:r>
      <w:r>
        <w:rPr>
          <w:lang w:val="hr-HR"/>
        </w:rPr>
        <w:t xml:space="preserve">. Pored isteka ograničenih mandata predsjednika suda i glavnog tužioca, ostavke, </w:t>
      </w:r>
      <w:proofErr w:type="spellStart"/>
      <w:r>
        <w:rPr>
          <w:lang w:val="hr-HR"/>
        </w:rPr>
        <w:t>penzionisanja</w:t>
      </w:r>
      <w:proofErr w:type="spellEnd"/>
      <w:r>
        <w:rPr>
          <w:lang w:val="hr-HR"/>
        </w:rPr>
        <w:t xml:space="preserve"> i </w:t>
      </w:r>
      <w:r w:rsidR="00527C60">
        <w:rPr>
          <w:lang w:val="hr-HR"/>
        </w:rPr>
        <w:t xml:space="preserve">trajnog </w:t>
      </w:r>
      <w:r>
        <w:rPr>
          <w:lang w:val="hr-HR"/>
        </w:rPr>
        <w:t>gubit</w:t>
      </w:r>
      <w:r w:rsidR="00527C60">
        <w:rPr>
          <w:lang w:val="hr-HR"/>
        </w:rPr>
        <w:t xml:space="preserve">ka </w:t>
      </w:r>
      <w:r>
        <w:rPr>
          <w:lang w:val="hr-HR"/>
        </w:rPr>
        <w:t xml:space="preserve">radne sposobnosti, propisano je </w:t>
      </w:r>
      <w:r w:rsidR="00527C60">
        <w:rPr>
          <w:lang w:val="hr-HR"/>
        </w:rPr>
        <w:t>i razrješenje u disciplinskom postupku</w:t>
      </w:r>
      <w:r w:rsidR="00527C60">
        <w:rPr>
          <w:rStyle w:val="Funotenzeichen"/>
          <w:lang w:val="hr-HR"/>
        </w:rPr>
        <w:footnoteReference w:id="7"/>
      </w:r>
      <w:r w:rsidR="00527C60">
        <w:rPr>
          <w:lang w:val="hr-HR"/>
        </w:rPr>
        <w:t>.</w:t>
      </w:r>
    </w:p>
    <w:p w14:paraId="050DE63B" w14:textId="77777777" w:rsidR="00527C60" w:rsidRDefault="00527C60" w:rsidP="005441C0">
      <w:pPr>
        <w:spacing w:after="120"/>
        <w:ind w:right="-7"/>
        <w:jc w:val="both"/>
        <w:rPr>
          <w:lang w:val="hr-HR"/>
        </w:rPr>
      </w:pPr>
      <w:r>
        <w:rPr>
          <w:lang w:val="hr-HR"/>
        </w:rPr>
        <w:t xml:space="preserve">Zakon o VSTV-u sadrži i paradoksalno rješenje prema kojem osuda u krivičnom postupku nije razlog za prestanak mandata </w:t>
      </w:r>
      <w:proofErr w:type="spellStart"/>
      <w:r>
        <w:rPr>
          <w:lang w:val="hr-HR"/>
        </w:rPr>
        <w:t>sudije</w:t>
      </w:r>
      <w:proofErr w:type="spellEnd"/>
      <w:r>
        <w:rPr>
          <w:lang w:val="hr-HR"/>
        </w:rPr>
        <w:t xml:space="preserve"> ili tužioca. Naime, </w:t>
      </w:r>
      <w:r w:rsidR="00DD3D21">
        <w:rPr>
          <w:lang w:val="hr-HR"/>
        </w:rPr>
        <w:t xml:space="preserve">čl. 56 tačka 14 i čl. 57 tačka 13 ovog zakona propisan je poseban </w:t>
      </w:r>
      <w:r w:rsidR="00DD3D21" w:rsidRPr="00653FF9">
        <w:rPr>
          <w:i/>
          <w:iCs/>
          <w:lang w:val="hr-HR"/>
        </w:rPr>
        <w:t>disciplinski prekršaj</w:t>
      </w:r>
      <w:r w:rsidR="00DD3D21">
        <w:rPr>
          <w:lang w:val="hr-HR"/>
        </w:rPr>
        <w:t xml:space="preserve"> sudija i tužilaca „</w:t>
      </w:r>
      <w:r w:rsidR="00DD3D21" w:rsidRPr="00FE2FF7">
        <w:rPr>
          <w:i/>
          <w:iCs/>
          <w:lang w:val="hr-HR"/>
        </w:rPr>
        <w:t xml:space="preserve">osuda na kaznu zatvora zbog izvršenog krivičnog djela, ili ako je proglašen krivim za krivično djelo koje ga čini nepodobnim za vršenje dužnosti </w:t>
      </w:r>
      <w:proofErr w:type="spellStart"/>
      <w:r w:rsidR="00DD3D21" w:rsidRPr="00FE2FF7">
        <w:rPr>
          <w:i/>
          <w:iCs/>
          <w:lang w:val="hr-HR"/>
        </w:rPr>
        <w:t>sudije</w:t>
      </w:r>
      <w:proofErr w:type="spellEnd"/>
      <w:r w:rsidR="00DD3D21" w:rsidRPr="00FE2FF7">
        <w:rPr>
          <w:i/>
          <w:iCs/>
          <w:lang w:val="hr-HR"/>
        </w:rPr>
        <w:t>/tužioca</w:t>
      </w:r>
      <w:r w:rsidR="00DD3D21">
        <w:rPr>
          <w:lang w:val="hr-HR"/>
        </w:rPr>
        <w:t xml:space="preserve">“. Nespretnim zakonskim rješenjem, </w:t>
      </w:r>
      <w:r w:rsidR="00BE7383" w:rsidRPr="00653FF9">
        <w:rPr>
          <w:i/>
          <w:iCs/>
          <w:lang w:val="hr-HR"/>
        </w:rPr>
        <w:t>objektivna</w:t>
      </w:r>
      <w:r w:rsidR="00BE7383">
        <w:rPr>
          <w:lang w:val="hr-HR"/>
        </w:rPr>
        <w:t xml:space="preserve"> </w:t>
      </w:r>
      <w:r w:rsidR="00B41086">
        <w:rPr>
          <w:lang w:val="hr-HR"/>
        </w:rPr>
        <w:t>činjenica</w:t>
      </w:r>
      <w:r w:rsidR="00BE7383">
        <w:rPr>
          <w:lang w:val="hr-HR"/>
        </w:rPr>
        <w:t xml:space="preserve"> pravosnažne krivične osude nosioca pravosudne funkcije postaje disciplinski prekršaj </w:t>
      </w:r>
      <w:proofErr w:type="spellStart"/>
      <w:r w:rsidR="00BE7383">
        <w:rPr>
          <w:lang w:val="hr-HR"/>
        </w:rPr>
        <w:t>sudije</w:t>
      </w:r>
      <w:proofErr w:type="spellEnd"/>
      <w:r w:rsidR="00BE7383">
        <w:rPr>
          <w:lang w:val="hr-HR"/>
        </w:rPr>
        <w:t xml:space="preserve"> i tužioca za koji je, u smislu čl. 54 Zakona o VSTV-u</w:t>
      </w:r>
      <w:r w:rsidR="00FD1B3F">
        <w:rPr>
          <w:lang w:val="hr-HR"/>
        </w:rPr>
        <w:t>,</w:t>
      </w:r>
      <w:r w:rsidR="00BE7383">
        <w:rPr>
          <w:lang w:val="hr-HR"/>
        </w:rPr>
        <w:t xml:space="preserve"> potrebno dokazati umišljaj ili nehat kao stepen </w:t>
      </w:r>
      <w:r w:rsidR="00653FF9" w:rsidRPr="00653FF9">
        <w:rPr>
          <w:i/>
          <w:iCs/>
          <w:lang w:val="hr-HR"/>
        </w:rPr>
        <w:t>subjektivne</w:t>
      </w:r>
      <w:r w:rsidR="00653FF9">
        <w:rPr>
          <w:lang w:val="hr-HR"/>
        </w:rPr>
        <w:t xml:space="preserve"> </w:t>
      </w:r>
      <w:r w:rsidR="00BE7383">
        <w:rPr>
          <w:lang w:val="hr-HR"/>
        </w:rPr>
        <w:t xml:space="preserve">disciplinske </w:t>
      </w:r>
      <w:r w:rsidR="005537AD">
        <w:rPr>
          <w:lang w:val="hr-HR"/>
        </w:rPr>
        <w:t>odgovornosti. Potrebno je navesti da pr</w:t>
      </w:r>
      <w:r w:rsidR="00E66442">
        <w:rPr>
          <w:lang w:val="hr-HR"/>
        </w:rPr>
        <w:t>e</w:t>
      </w:r>
      <w:r w:rsidR="00FD1B3F">
        <w:rPr>
          <w:lang w:val="hr-HR"/>
        </w:rPr>
        <w:t>os</w:t>
      </w:r>
      <w:r w:rsidR="005537AD">
        <w:rPr>
          <w:lang w:val="hr-HR"/>
        </w:rPr>
        <w:t xml:space="preserve">tali zakoni koji </w:t>
      </w:r>
      <w:proofErr w:type="spellStart"/>
      <w:r w:rsidR="00FD1B3F">
        <w:rPr>
          <w:lang w:val="hr-HR"/>
        </w:rPr>
        <w:t>regulišu</w:t>
      </w:r>
      <w:proofErr w:type="spellEnd"/>
      <w:r w:rsidR="00FD1B3F">
        <w:rPr>
          <w:lang w:val="hr-HR"/>
        </w:rPr>
        <w:t xml:space="preserve"> status zaposlenih u </w:t>
      </w:r>
      <w:r w:rsidR="00BE7383">
        <w:rPr>
          <w:lang w:val="hr-HR"/>
        </w:rPr>
        <w:t xml:space="preserve"> </w:t>
      </w:r>
      <w:r w:rsidR="00FD1B3F">
        <w:rPr>
          <w:lang w:val="hr-HR"/>
        </w:rPr>
        <w:t>javnim institucijama predviđaju krivičnu osudu</w:t>
      </w:r>
      <w:r w:rsidR="00295D63">
        <w:rPr>
          <w:lang w:val="hr-HR"/>
        </w:rPr>
        <w:t>,</w:t>
      </w:r>
      <w:r w:rsidR="00FD1B3F">
        <w:rPr>
          <w:lang w:val="hr-HR"/>
        </w:rPr>
        <w:t xml:space="preserve"> za određenu vrstu krivičnih djela </w:t>
      </w:r>
      <w:r w:rsidR="00295D63">
        <w:rPr>
          <w:lang w:val="hr-HR"/>
        </w:rPr>
        <w:t>ili za određenu vrstu izrečene krivičnopravne sankcije, kao razlog za</w:t>
      </w:r>
      <w:r w:rsidR="00E66442">
        <w:rPr>
          <w:lang w:val="hr-HR"/>
        </w:rPr>
        <w:t xml:space="preserve"> automatski</w:t>
      </w:r>
      <w:r w:rsidR="00295D63">
        <w:rPr>
          <w:lang w:val="hr-HR"/>
        </w:rPr>
        <w:t xml:space="preserve"> prestanak radnog odnosa</w:t>
      </w:r>
      <w:r w:rsidR="00E66442">
        <w:rPr>
          <w:lang w:val="hr-HR"/>
        </w:rPr>
        <w:t>,</w:t>
      </w:r>
      <w:r w:rsidR="00295D63">
        <w:rPr>
          <w:lang w:val="hr-HR"/>
        </w:rPr>
        <w:t xml:space="preserve"> što je logičnije rješenje</w:t>
      </w:r>
      <w:r w:rsidR="00295D63">
        <w:rPr>
          <w:rStyle w:val="Funotenzeichen"/>
          <w:lang w:val="hr-HR"/>
        </w:rPr>
        <w:footnoteReference w:id="8"/>
      </w:r>
      <w:r w:rsidR="00295D63">
        <w:rPr>
          <w:lang w:val="hr-HR"/>
        </w:rPr>
        <w:t xml:space="preserve">. </w:t>
      </w:r>
    </w:p>
    <w:p w14:paraId="0146170A" w14:textId="77777777" w:rsidR="00653FF9" w:rsidRDefault="00D458D0" w:rsidP="005441C0">
      <w:pPr>
        <w:spacing w:after="120"/>
        <w:ind w:right="-7"/>
        <w:jc w:val="both"/>
        <w:rPr>
          <w:lang w:val="hr-HR"/>
        </w:rPr>
      </w:pPr>
      <w:r>
        <w:rPr>
          <w:lang w:val="hr-HR"/>
        </w:rPr>
        <w:t xml:space="preserve">Čl. 43 Zakona o VSTV-u propisani su kriteriji za imenovanje određene osobe za </w:t>
      </w:r>
      <w:proofErr w:type="spellStart"/>
      <w:r>
        <w:rPr>
          <w:lang w:val="hr-HR"/>
        </w:rPr>
        <w:t>sudiju</w:t>
      </w:r>
      <w:proofErr w:type="spellEnd"/>
      <w:r>
        <w:rPr>
          <w:lang w:val="hr-HR"/>
        </w:rPr>
        <w:t xml:space="preserve"> i tužioca. Pored kriterija koji se odnose na stručnost i kompetentnost, propisani su i kriteriji koji se odnose na podobnost kandidata da obavlja funkciju za koju aplicira: </w:t>
      </w:r>
      <w:r w:rsidR="00B67C0F">
        <w:rPr>
          <w:lang w:val="hr-HR"/>
        </w:rPr>
        <w:t>„</w:t>
      </w:r>
      <w:r w:rsidR="00B67C0F" w:rsidRPr="00FE2FF7">
        <w:rPr>
          <w:i/>
          <w:iCs/>
          <w:lang w:val="hr-HR"/>
        </w:rPr>
        <w:t xml:space="preserve">sposobnost da </w:t>
      </w:r>
      <w:proofErr w:type="spellStart"/>
      <w:r w:rsidR="00B67C0F" w:rsidRPr="00FE2FF7">
        <w:rPr>
          <w:i/>
          <w:iCs/>
          <w:lang w:val="hr-HR"/>
        </w:rPr>
        <w:t>nepristrasno</w:t>
      </w:r>
      <w:proofErr w:type="spellEnd"/>
      <w:r w:rsidR="00B67C0F" w:rsidRPr="00FE2FF7">
        <w:rPr>
          <w:i/>
          <w:iCs/>
          <w:lang w:val="hr-HR"/>
        </w:rPr>
        <w:t xml:space="preserve">, savjesno, marljivo, odlučno i odgovorno obavlja dužnosti u okviru </w:t>
      </w:r>
      <w:r w:rsidR="00B67C0F" w:rsidRPr="00FE2FF7">
        <w:rPr>
          <w:i/>
          <w:iCs/>
          <w:lang w:val="hr-HR"/>
        </w:rPr>
        <w:lastRenderedPageBreak/>
        <w:t>funkcije za koju se prijavljuje</w:t>
      </w:r>
      <w:r w:rsidR="00B67C0F">
        <w:rPr>
          <w:lang w:val="hr-HR"/>
        </w:rPr>
        <w:t>“, i „</w:t>
      </w:r>
      <w:r w:rsidR="00B67C0F" w:rsidRPr="00FE2FF7">
        <w:rPr>
          <w:i/>
          <w:iCs/>
          <w:lang w:val="hr-HR"/>
        </w:rPr>
        <w:t xml:space="preserve">odnosi sa radnim kolegama, ponašanje van posla, profesionalna </w:t>
      </w:r>
      <w:proofErr w:type="spellStart"/>
      <w:r w:rsidR="00B67C0F" w:rsidRPr="00FE2FF7">
        <w:rPr>
          <w:i/>
          <w:iCs/>
          <w:lang w:val="hr-HR"/>
        </w:rPr>
        <w:t>nepristrasnost</w:t>
      </w:r>
      <w:proofErr w:type="spellEnd"/>
      <w:r w:rsidR="00B67C0F" w:rsidRPr="00FE2FF7">
        <w:rPr>
          <w:i/>
          <w:iCs/>
          <w:lang w:val="hr-HR"/>
        </w:rPr>
        <w:t xml:space="preserve"> i ugled</w:t>
      </w:r>
      <w:r w:rsidR="00B67C0F">
        <w:rPr>
          <w:lang w:val="hr-HR"/>
        </w:rPr>
        <w:t>“.</w:t>
      </w:r>
    </w:p>
    <w:p w14:paraId="78EE978C" w14:textId="77777777" w:rsidR="00B67C0F" w:rsidRDefault="006759EA" w:rsidP="005441C0">
      <w:pPr>
        <w:spacing w:after="120"/>
        <w:ind w:right="-7"/>
        <w:jc w:val="both"/>
        <w:rPr>
          <w:lang w:val="hr-HR"/>
        </w:rPr>
      </w:pPr>
      <w:r>
        <w:rPr>
          <w:lang w:val="hr-HR"/>
        </w:rPr>
        <w:t xml:space="preserve">Čl. 44 st. 2 </w:t>
      </w:r>
      <w:r w:rsidR="00FE2FF7">
        <w:rPr>
          <w:lang w:val="hr-HR"/>
        </w:rPr>
        <w:t xml:space="preserve">istog </w:t>
      </w:r>
      <w:r>
        <w:rPr>
          <w:lang w:val="hr-HR"/>
        </w:rPr>
        <w:t>zakona je propisano: „</w:t>
      </w:r>
      <w:r w:rsidRPr="00FE2FF7">
        <w:rPr>
          <w:i/>
          <w:iCs/>
          <w:lang w:val="hr-HR"/>
        </w:rPr>
        <w:t xml:space="preserve">Vijeće može poništiti odluku o imenovanju ako nakon donošenja odluke o imenovanju, a prije nego što imenovani sudija ili tužilac preuzme dužnost, dobije podatke koji bi, da su bili poznati u vrijeme imenovanja, predstavljali razlog da Vijeće ne donese odluku o imenovanju. Vijeće može, ako to smatra neophodnim, odgoditi datum preuzimanja dužnosti </w:t>
      </w:r>
      <w:proofErr w:type="spellStart"/>
      <w:r w:rsidRPr="00FE2FF7">
        <w:rPr>
          <w:i/>
          <w:iCs/>
          <w:lang w:val="hr-HR"/>
        </w:rPr>
        <w:t>sudije</w:t>
      </w:r>
      <w:proofErr w:type="spellEnd"/>
      <w:r w:rsidRPr="00FE2FF7">
        <w:rPr>
          <w:i/>
          <w:iCs/>
          <w:lang w:val="hr-HR"/>
        </w:rPr>
        <w:t xml:space="preserve"> ili tužioca na koga se odnose navedeni podaci, kako bi te podatke moglo na odgovarajući način provjeriti</w:t>
      </w:r>
      <w:r>
        <w:rPr>
          <w:lang w:val="hr-HR"/>
        </w:rPr>
        <w:t>“</w:t>
      </w:r>
      <w:r w:rsidR="004564E8">
        <w:rPr>
          <w:lang w:val="hr-HR"/>
        </w:rPr>
        <w:t xml:space="preserve">. VSTV </w:t>
      </w:r>
      <w:r w:rsidR="004B3ACE">
        <w:rPr>
          <w:lang w:val="hr-HR"/>
        </w:rPr>
        <w:t xml:space="preserve">je </w:t>
      </w:r>
      <w:r w:rsidR="004564E8">
        <w:rPr>
          <w:lang w:val="hr-HR"/>
        </w:rPr>
        <w:t xml:space="preserve">donijelo svega nekolicinu ovakvih odluka u periodu svog rada od stupanju na snagu Zakona o VSTV-u 2004. godine. </w:t>
      </w:r>
      <w:r>
        <w:rPr>
          <w:lang w:val="hr-HR"/>
        </w:rPr>
        <w:t xml:space="preserve">Ukoliko pak </w:t>
      </w:r>
      <w:r w:rsidR="000A28BB">
        <w:rPr>
          <w:lang w:val="hr-HR"/>
        </w:rPr>
        <w:t>VSTV</w:t>
      </w:r>
      <w:r>
        <w:rPr>
          <w:lang w:val="hr-HR"/>
        </w:rPr>
        <w:t xml:space="preserve"> primi ovakve podatke (ili informacije) nakon što je nosilac pravosudne funkcije stupio na dužnost, on</w:t>
      </w:r>
      <w:r w:rsidR="00D01AE1">
        <w:rPr>
          <w:lang w:val="hr-HR"/>
        </w:rPr>
        <w:t>i</w:t>
      </w:r>
      <w:r>
        <w:rPr>
          <w:lang w:val="hr-HR"/>
        </w:rPr>
        <w:t xml:space="preserve"> mogu samo predstavljati disciplinski prekršaj i ne mogu predstavljati osnov za poništenje odluke o imenovanju</w:t>
      </w:r>
      <w:r w:rsidR="00D01AE1">
        <w:rPr>
          <w:lang w:val="hr-HR"/>
        </w:rPr>
        <w:t>.</w:t>
      </w:r>
      <w:r>
        <w:rPr>
          <w:lang w:val="hr-HR"/>
        </w:rPr>
        <w:t xml:space="preserve"> </w:t>
      </w:r>
    </w:p>
    <w:p w14:paraId="7438C98C" w14:textId="77777777" w:rsidR="00B67C0F" w:rsidRDefault="00E52BCB" w:rsidP="005441C0">
      <w:pPr>
        <w:spacing w:after="120"/>
        <w:ind w:right="-7"/>
        <w:jc w:val="both"/>
        <w:rPr>
          <w:lang w:val="hr-HR"/>
        </w:rPr>
      </w:pPr>
      <w:r>
        <w:rPr>
          <w:lang w:val="hr-HR"/>
        </w:rPr>
        <w:t>Navedene</w:t>
      </w:r>
      <w:r w:rsidR="00B67C0F">
        <w:rPr>
          <w:lang w:val="hr-HR"/>
        </w:rPr>
        <w:t xml:space="preserve"> </w:t>
      </w:r>
      <w:r w:rsidR="004564E8" w:rsidRPr="004564E8">
        <w:rPr>
          <w:lang w:val="hr-HR"/>
        </w:rPr>
        <w:t>moralno-etičk</w:t>
      </w:r>
      <w:r w:rsidR="004564E8">
        <w:rPr>
          <w:lang w:val="hr-HR"/>
        </w:rPr>
        <w:t>e</w:t>
      </w:r>
      <w:r>
        <w:rPr>
          <w:lang w:val="hr-HR"/>
        </w:rPr>
        <w:t xml:space="preserve"> </w:t>
      </w:r>
      <w:r w:rsidR="00B67C0F">
        <w:rPr>
          <w:lang w:val="hr-HR"/>
        </w:rPr>
        <w:t xml:space="preserve">karakteristike </w:t>
      </w:r>
      <w:r>
        <w:rPr>
          <w:lang w:val="hr-HR"/>
        </w:rPr>
        <w:t xml:space="preserve">kandidata </w:t>
      </w:r>
      <w:r w:rsidR="000A28BB">
        <w:rPr>
          <w:lang w:val="hr-HR"/>
        </w:rPr>
        <w:t xml:space="preserve">teoretski </w:t>
      </w:r>
      <w:r w:rsidR="00B67C0F">
        <w:rPr>
          <w:lang w:val="hr-HR"/>
        </w:rPr>
        <w:t xml:space="preserve">predstavljaju branu korupciji u pravosuđu i održavaju integritet sistema i povjerenje javnosti u njega. </w:t>
      </w:r>
      <w:r w:rsidR="00FE2FF7">
        <w:rPr>
          <w:lang w:val="hr-HR"/>
        </w:rPr>
        <w:t>Naravno, pod pretpostavkom da postoje načini</w:t>
      </w:r>
      <w:r w:rsidR="00B67C0F">
        <w:rPr>
          <w:lang w:val="hr-HR"/>
        </w:rPr>
        <w:t xml:space="preserve"> njihove provjere</w:t>
      </w:r>
      <w:r w:rsidR="000A28BB">
        <w:rPr>
          <w:lang w:val="hr-HR"/>
        </w:rPr>
        <w:t xml:space="preserve"> u praksi</w:t>
      </w:r>
      <w:r w:rsidR="00FE2FF7">
        <w:rPr>
          <w:lang w:val="hr-HR"/>
        </w:rPr>
        <w:t>.</w:t>
      </w:r>
    </w:p>
    <w:p w14:paraId="4198F69F" w14:textId="77777777" w:rsidR="005A3099" w:rsidRDefault="000A28BB" w:rsidP="00437165">
      <w:pPr>
        <w:spacing w:after="120"/>
        <w:ind w:right="-7"/>
        <w:jc w:val="both"/>
        <w:rPr>
          <w:lang w:val="hr-HR"/>
        </w:rPr>
      </w:pPr>
      <w:r>
        <w:rPr>
          <w:lang w:val="hr-HR"/>
        </w:rPr>
        <w:t>Č</w:t>
      </w:r>
      <w:r w:rsidR="004564E8">
        <w:rPr>
          <w:lang w:val="hr-HR"/>
        </w:rPr>
        <w:t xml:space="preserve">l. 35 st. </w:t>
      </w:r>
      <w:r w:rsidR="00437165">
        <w:rPr>
          <w:lang w:val="hr-HR"/>
        </w:rPr>
        <w:t>P</w:t>
      </w:r>
      <w:r w:rsidR="004564E8">
        <w:rPr>
          <w:lang w:val="hr-HR"/>
        </w:rPr>
        <w:t>oslovnika</w:t>
      </w:r>
      <w:r w:rsidR="00437165">
        <w:rPr>
          <w:rStyle w:val="Funotenzeichen"/>
          <w:lang w:val="hr-HR"/>
        </w:rPr>
        <w:footnoteReference w:id="9"/>
      </w:r>
      <w:r>
        <w:rPr>
          <w:lang w:val="hr-HR"/>
        </w:rPr>
        <w:t xml:space="preserve"> VSTV-a</w:t>
      </w:r>
      <w:r w:rsidR="004564E8">
        <w:rPr>
          <w:lang w:val="hr-HR"/>
        </w:rPr>
        <w:t xml:space="preserve"> propisano </w:t>
      </w:r>
      <w:r w:rsidR="00437165">
        <w:rPr>
          <w:lang w:val="hr-HR"/>
        </w:rPr>
        <w:t xml:space="preserve">je koje je dokumente kandidat dužan dostaviti uz popunjeni prijavni obrazac. </w:t>
      </w:r>
      <w:r w:rsidR="005A3099" w:rsidRPr="00D01AE1">
        <w:rPr>
          <w:lang w:val="hr-HR"/>
        </w:rPr>
        <w:t xml:space="preserve">Pored traženih dokumenata, </w:t>
      </w:r>
      <w:r w:rsidR="00447E36" w:rsidRPr="00D01AE1">
        <w:rPr>
          <w:lang w:val="hr-HR"/>
        </w:rPr>
        <w:t>kandidat je dužan da popuni prijavni obrazac.</w:t>
      </w:r>
      <w:r w:rsidR="00447E36">
        <w:rPr>
          <w:lang w:val="hr-HR"/>
        </w:rPr>
        <w:t xml:space="preserve"> Prema trenutnoj formi obrasca</w:t>
      </w:r>
      <w:r w:rsidR="00AD0A0A">
        <w:rPr>
          <w:rStyle w:val="Funotenzeichen"/>
          <w:lang w:val="hr-HR"/>
        </w:rPr>
        <w:footnoteReference w:id="10"/>
      </w:r>
      <w:r w:rsidR="00447E36">
        <w:rPr>
          <w:lang w:val="hr-HR"/>
        </w:rPr>
        <w:t xml:space="preserve">, </w:t>
      </w:r>
      <w:r w:rsidR="00AD0A0A">
        <w:rPr>
          <w:lang w:val="hr-HR"/>
        </w:rPr>
        <w:t>potrebno je izdvojiti sljedeće informacije koje su značajne za ocjenu njegove podobnosti: članstvo u političkim organizacijama, vojna služba (uključujući ratni period), s</w:t>
      </w:r>
      <w:r w:rsidR="00AD0A0A" w:rsidRPr="00AD0A0A">
        <w:rPr>
          <w:lang w:val="hr-HR"/>
        </w:rPr>
        <w:t>udska, tužilačka ili druga pravna djelatnost u periodu od 1991 – 1996. godine</w:t>
      </w:r>
      <w:r w:rsidR="00AD0A0A">
        <w:rPr>
          <w:lang w:val="hr-HR"/>
        </w:rPr>
        <w:t xml:space="preserve">, </w:t>
      </w:r>
      <w:r w:rsidR="000516AE">
        <w:rPr>
          <w:lang w:val="hr-HR"/>
        </w:rPr>
        <w:t>a</w:t>
      </w:r>
      <w:r w:rsidR="000516AE" w:rsidRPr="000516AE">
        <w:rPr>
          <w:lang w:val="hr-HR"/>
        </w:rPr>
        <w:t xml:space="preserve">ktivnost u javnim i privatnim </w:t>
      </w:r>
      <w:proofErr w:type="spellStart"/>
      <w:r w:rsidR="000516AE" w:rsidRPr="000516AE">
        <w:rPr>
          <w:lang w:val="hr-HR"/>
        </w:rPr>
        <w:t>preduzećima</w:t>
      </w:r>
      <w:proofErr w:type="spellEnd"/>
      <w:r w:rsidR="000516AE">
        <w:rPr>
          <w:lang w:val="hr-HR"/>
        </w:rPr>
        <w:t>, osuđivanost za krivično djelo ili prekršaj, uključujući i brisane osude, vođenje disciplinskog postupka i „</w:t>
      </w:r>
      <w:r w:rsidR="000516AE" w:rsidRPr="00FE2FF7">
        <w:rPr>
          <w:i/>
          <w:iCs/>
          <w:lang w:val="hr-HR"/>
        </w:rPr>
        <w:t xml:space="preserve">ozbiljnije </w:t>
      </w:r>
      <w:proofErr w:type="spellStart"/>
      <w:r w:rsidR="000516AE" w:rsidRPr="00FE2FF7">
        <w:rPr>
          <w:i/>
          <w:iCs/>
          <w:lang w:val="hr-HR"/>
        </w:rPr>
        <w:t>finansijske</w:t>
      </w:r>
      <w:proofErr w:type="spellEnd"/>
      <w:r w:rsidR="000516AE" w:rsidRPr="00FE2FF7">
        <w:rPr>
          <w:i/>
          <w:iCs/>
          <w:lang w:val="hr-HR"/>
        </w:rPr>
        <w:t xml:space="preserve"> poteškoće</w:t>
      </w:r>
      <w:r w:rsidR="000516AE">
        <w:rPr>
          <w:lang w:val="hr-HR"/>
        </w:rPr>
        <w:t xml:space="preserve">“. </w:t>
      </w:r>
    </w:p>
    <w:p w14:paraId="243A07DB" w14:textId="77777777" w:rsidR="00C743CB" w:rsidRDefault="007C2D32" w:rsidP="00437165">
      <w:pPr>
        <w:spacing w:after="120"/>
        <w:ind w:right="-7"/>
        <w:jc w:val="both"/>
        <w:rPr>
          <w:lang w:val="hr-HR"/>
        </w:rPr>
      </w:pPr>
      <w:r>
        <w:rPr>
          <w:lang w:val="hr-HR"/>
        </w:rPr>
        <w:t>Čl.</w:t>
      </w:r>
      <w:r w:rsidR="00B7576E">
        <w:rPr>
          <w:lang w:val="hr-HR"/>
        </w:rPr>
        <w:t xml:space="preserve"> </w:t>
      </w:r>
      <w:r>
        <w:rPr>
          <w:lang w:val="hr-HR"/>
        </w:rPr>
        <w:t>35 st. 6 Poslovnika</w:t>
      </w:r>
      <w:r w:rsidR="00191401">
        <w:rPr>
          <w:lang w:val="hr-HR"/>
        </w:rPr>
        <w:t xml:space="preserve"> VSTV</w:t>
      </w:r>
      <w:r>
        <w:rPr>
          <w:lang w:val="hr-HR"/>
        </w:rPr>
        <w:t xml:space="preserve"> je propisano: „</w:t>
      </w:r>
      <w:r w:rsidRPr="007C2D32">
        <w:rPr>
          <w:i/>
          <w:iCs/>
          <w:lang w:val="hr-HR"/>
        </w:rPr>
        <w:t>Ukoliko se u toku konkursne procedure do donošenja odluke o imenovanju utvrdi da je kandidat u prijavnom materijalu dao pogrešne ili neistinite informacije, on se isključuje iz konkursne procedure, o čemu se kandidat obavještava elektronskom poštom ili na drugi odgovarajući način</w:t>
      </w:r>
      <w:r>
        <w:rPr>
          <w:lang w:val="hr-HR"/>
        </w:rPr>
        <w:t>“</w:t>
      </w:r>
      <w:r w:rsidRPr="007C2D32">
        <w:rPr>
          <w:lang w:val="hr-HR"/>
        </w:rPr>
        <w:t>.</w:t>
      </w:r>
      <w:r>
        <w:rPr>
          <w:lang w:val="hr-HR"/>
        </w:rPr>
        <w:t xml:space="preserve"> Imajući u vidu ranije citiranu odredbu čl. 44 st. </w:t>
      </w:r>
      <w:r w:rsidR="00B7576E">
        <w:rPr>
          <w:lang w:val="hr-HR"/>
        </w:rPr>
        <w:t>2</w:t>
      </w:r>
      <w:r>
        <w:rPr>
          <w:lang w:val="hr-HR"/>
        </w:rPr>
        <w:t xml:space="preserve"> Zakona o VSTV, ovakvu odluku je moguće donijeti samo do </w:t>
      </w:r>
      <w:r w:rsidR="00191401">
        <w:rPr>
          <w:lang w:val="hr-HR"/>
        </w:rPr>
        <w:t xml:space="preserve">trenutka </w:t>
      </w:r>
      <w:r>
        <w:rPr>
          <w:lang w:val="hr-HR"/>
        </w:rPr>
        <w:t xml:space="preserve">stupanja na dužnost </w:t>
      </w:r>
      <w:proofErr w:type="spellStart"/>
      <w:r>
        <w:rPr>
          <w:lang w:val="hr-HR"/>
        </w:rPr>
        <w:t>sudije</w:t>
      </w:r>
      <w:proofErr w:type="spellEnd"/>
      <w:r>
        <w:rPr>
          <w:lang w:val="hr-HR"/>
        </w:rPr>
        <w:t xml:space="preserve"> ili tužioca. </w:t>
      </w:r>
    </w:p>
    <w:p w14:paraId="614C2B15" w14:textId="77777777" w:rsidR="007C2D32" w:rsidRDefault="007C2D32" w:rsidP="00437165">
      <w:pPr>
        <w:spacing w:after="120"/>
        <w:ind w:right="-7"/>
        <w:jc w:val="both"/>
        <w:rPr>
          <w:lang w:val="hr-HR"/>
        </w:rPr>
      </w:pPr>
      <w:r>
        <w:rPr>
          <w:lang w:val="hr-HR"/>
        </w:rPr>
        <w:t xml:space="preserve">U suprotnom, protiv kandidata </w:t>
      </w:r>
      <w:r w:rsidR="00C743CB">
        <w:rPr>
          <w:lang w:val="hr-HR"/>
        </w:rPr>
        <w:t xml:space="preserve">koji je već počeo da obavlja pravosudnu funkciju, može se jedino pokrenuti disciplinski postupak zbog prekršaja propisanog čl. 56 i 57 tačke 19 Zakona o VSTV-u: </w:t>
      </w:r>
      <w:bookmarkStart w:id="2" w:name="_Hlk103195336"/>
      <w:r w:rsidR="00C743CB">
        <w:rPr>
          <w:lang w:val="hr-HR"/>
        </w:rPr>
        <w:t>„</w:t>
      </w:r>
      <w:r w:rsidR="00C743CB" w:rsidRPr="00FE2FF7">
        <w:rPr>
          <w:i/>
          <w:iCs/>
          <w:lang w:val="hr-HR"/>
        </w:rPr>
        <w:t xml:space="preserve">namjerno davanje lažne, </w:t>
      </w:r>
      <w:proofErr w:type="spellStart"/>
      <w:r w:rsidR="00C743CB" w:rsidRPr="00FE2FF7">
        <w:rPr>
          <w:i/>
          <w:iCs/>
          <w:lang w:val="hr-HR"/>
        </w:rPr>
        <w:t>obmanjive</w:t>
      </w:r>
      <w:proofErr w:type="spellEnd"/>
      <w:r w:rsidR="00C743CB" w:rsidRPr="00FE2FF7">
        <w:rPr>
          <w:i/>
          <w:iCs/>
          <w:lang w:val="hr-HR"/>
        </w:rPr>
        <w:t xml:space="preserve"> ili nedovoljne informacije u vezi s prijavama za radno mjesto, disciplinskim stvarima, pitanjima unapređenja i napredovanja u službi ili bilo kojim drugim pitanjima  koja su u nadležnosti Vijeća</w:t>
      </w:r>
      <w:r w:rsidR="00C743CB">
        <w:rPr>
          <w:lang w:val="hr-HR"/>
        </w:rPr>
        <w:t>“</w:t>
      </w:r>
      <w:bookmarkEnd w:id="2"/>
      <w:r w:rsidR="00C743CB">
        <w:rPr>
          <w:lang w:val="hr-HR"/>
        </w:rPr>
        <w:t xml:space="preserve">. </w:t>
      </w:r>
      <w:r w:rsidR="00D6346C">
        <w:rPr>
          <w:lang w:val="hr-HR"/>
        </w:rPr>
        <w:t>Radi se o jedinom</w:t>
      </w:r>
      <w:r w:rsidR="00C743CB">
        <w:rPr>
          <w:lang w:val="hr-HR"/>
        </w:rPr>
        <w:t xml:space="preserve"> disciplinskom prekršaju koji ne zastarijeva u materijalnom smislu, odnosno u odnosu na kojeg je čl. 72 st. 1 </w:t>
      </w:r>
      <w:r w:rsidR="00FE2FF7">
        <w:rPr>
          <w:lang w:val="hr-HR"/>
        </w:rPr>
        <w:t>Z</w:t>
      </w:r>
      <w:r w:rsidR="00C743CB">
        <w:rPr>
          <w:lang w:val="hr-HR"/>
        </w:rPr>
        <w:t>akona</w:t>
      </w:r>
      <w:r w:rsidR="00625674">
        <w:rPr>
          <w:lang w:val="hr-HR"/>
        </w:rPr>
        <w:t xml:space="preserve"> o VSTV</w:t>
      </w:r>
      <w:r w:rsidR="00C743CB">
        <w:rPr>
          <w:lang w:val="hr-HR"/>
        </w:rPr>
        <w:t xml:space="preserve"> napravljen izuzetak </w:t>
      </w:r>
      <w:r w:rsidR="00597718">
        <w:rPr>
          <w:lang w:val="hr-HR"/>
        </w:rPr>
        <w:t>od</w:t>
      </w:r>
      <w:r w:rsidR="00C743CB">
        <w:rPr>
          <w:lang w:val="hr-HR"/>
        </w:rPr>
        <w:t xml:space="preserve"> </w:t>
      </w:r>
      <w:proofErr w:type="spellStart"/>
      <w:r w:rsidR="00C743CB">
        <w:rPr>
          <w:lang w:val="hr-HR"/>
        </w:rPr>
        <w:t>zastarn</w:t>
      </w:r>
      <w:r w:rsidR="00597718">
        <w:rPr>
          <w:lang w:val="hr-HR"/>
        </w:rPr>
        <w:t>og</w:t>
      </w:r>
      <w:proofErr w:type="spellEnd"/>
      <w:r w:rsidR="00C743CB">
        <w:rPr>
          <w:lang w:val="hr-HR"/>
        </w:rPr>
        <w:t xml:space="preserve"> rok</w:t>
      </w:r>
      <w:r w:rsidR="00597718">
        <w:rPr>
          <w:lang w:val="hr-HR"/>
        </w:rPr>
        <w:t>a</w:t>
      </w:r>
      <w:r w:rsidR="00C743CB">
        <w:rPr>
          <w:lang w:val="hr-HR"/>
        </w:rPr>
        <w:t xml:space="preserve"> od pet godina od izvršenog disciplinskog prekršaja</w:t>
      </w:r>
      <w:r w:rsidR="00C27EFC">
        <w:rPr>
          <w:lang w:val="hr-HR"/>
        </w:rPr>
        <w:t xml:space="preserve">, pa se disciplinski postupak može pokrenuti i kada se u toku obavljanja funkcije ustanovi da je sudija ili tužilac dao lažne podatke prilikom prvog apliciranja ili kasnijeg napredovanja u pravosudnoj karijeri. </w:t>
      </w:r>
    </w:p>
    <w:p w14:paraId="07661B79" w14:textId="0DC8DADB" w:rsidR="00E511FC" w:rsidRPr="005332E7" w:rsidRDefault="00C27EFC" w:rsidP="00437165">
      <w:pPr>
        <w:spacing w:after="120"/>
        <w:ind w:right="-7"/>
        <w:jc w:val="both"/>
        <w:rPr>
          <w:lang w:val="hr-HR"/>
        </w:rPr>
      </w:pPr>
      <w:r>
        <w:rPr>
          <w:lang w:val="hr-HR"/>
        </w:rPr>
        <w:lastRenderedPageBreak/>
        <w:t xml:space="preserve">Praktični problem koji se javlja prilikom apliciranja </w:t>
      </w:r>
      <w:proofErr w:type="spellStart"/>
      <w:r>
        <w:rPr>
          <w:lang w:val="hr-HR"/>
        </w:rPr>
        <w:t>kadidata</w:t>
      </w:r>
      <w:proofErr w:type="spellEnd"/>
      <w:r>
        <w:rPr>
          <w:lang w:val="hr-HR"/>
        </w:rPr>
        <w:t xml:space="preserve"> na </w:t>
      </w:r>
      <w:proofErr w:type="spellStart"/>
      <w:r>
        <w:rPr>
          <w:lang w:val="hr-HR"/>
        </w:rPr>
        <w:t>sudijske</w:t>
      </w:r>
      <w:proofErr w:type="spellEnd"/>
      <w:r>
        <w:rPr>
          <w:lang w:val="hr-HR"/>
        </w:rPr>
        <w:t xml:space="preserve"> i tužilačke pozicije </w:t>
      </w:r>
      <w:r w:rsidR="00B56301">
        <w:rPr>
          <w:lang w:val="hr-HR"/>
        </w:rPr>
        <w:t xml:space="preserve">predstavlja </w:t>
      </w:r>
      <w:r>
        <w:rPr>
          <w:lang w:val="hr-HR"/>
        </w:rPr>
        <w:t>nepostoj</w:t>
      </w:r>
      <w:r w:rsidR="00B56301">
        <w:rPr>
          <w:lang w:val="hr-HR"/>
        </w:rPr>
        <w:t>anje</w:t>
      </w:r>
      <w:r>
        <w:rPr>
          <w:lang w:val="hr-HR"/>
        </w:rPr>
        <w:t xml:space="preserve"> sistemsk</w:t>
      </w:r>
      <w:r w:rsidR="00B56301">
        <w:rPr>
          <w:lang w:val="hr-HR"/>
        </w:rPr>
        <w:t>og</w:t>
      </w:r>
      <w:r>
        <w:rPr>
          <w:lang w:val="hr-HR"/>
        </w:rPr>
        <w:t xml:space="preserve"> institucionaln</w:t>
      </w:r>
      <w:r w:rsidR="00B56301">
        <w:rPr>
          <w:lang w:val="hr-HR"/>
        </w:rPr>
        <w:t>og</w:t>
      </w:r>
      <w:r>
        <w:rPr>
          <w:lang w:val="hr-HR"/>
        </w:rPr>
        <w:t xml:space="preserve"> mehanizm</w:t>
      </w:r>
      <w:r w:rsidR="00B56301">
        <w:rPr>
          <w:lang w:val="hr-HR"/>
        </w:rPr>
        <w:t>a</w:t>
      </w:r>
      <w:r>
        <w:rPr>
          <w:lang w:val="hr-HR"/>
        </w:rPr>
        <w:t xml:space="preserve"> provjere dostavljenih dokumenata i informacija </w:t>
      </w:r>
      <w:proofErr w:type="spellStart"/>
      <w:r>
        <w:rPr>
          <w:lang w:val="hr-HR"/>
        </w:rPr>
        <w:t>aplikanata</w:t>
      </w:r>
      <w:proofErr w:type="spellEnd"/>
      <w:r w:rsidR="001462FF">
        <w:rPr>
          <w:lang w:val="hr-HR"/>
        </w:rPr>
        <w:t xml:space="preserve">. </w:t>
      </w:r>
      <w:r w:rsidR="004C28F4">
        <w:rPr>
          <w:lang w:val="hr-HR"/>
        </w:rPr>
        <w:t xml:space="preserve">VSTV </w:t>
      </w:r>
      <w:r w:rsidR="00B7576E">
        <w:rPr>
          <w:lang w:val="hr-HR"/>
        </w:rPr>
        <w:t xml:space="preserve">u suštini </w:t>
      </w:r>
      <w:r w:rsidR="004C28F4">
        <w:rPr>
          <w:lang w:val="hr-HR"/>
        </w:rPr>
        <w:t>poklanja povjerenje</w:t>
      </w:r>
      <w:r w:rsidR="001462FF">
        <w:rPr>
          <w:lang w:val="hr-HR"/>
        </w:rPr>
        <w:t xml:space="preserve"> informacijama i podacima koje su </w:t>
      </w:r>
      <w:r w:rsidR="001844DF">
        <w:rPr>
          <w:lang w:val="hr-HR"/>
        </w:rPr>
        <w:t>ponudili kandidati</w:t>
      </w:r>
      <w:r w:rsidR="004C28F4">
        <w:rPr>
          <w:lang w:val="hr-HR"/>
        </w:rPr>
        <w:t xml:space="preserve">. </w:t>
      </w:r>
      <w:r>
        <w:rPr>
          <w:lang w:val="hr-HR"/>
        </w:rPr>
        <w:t xml:space="preserve">Naime, </w:t>
      </w:r>
      <w:r w:rsidR="004C28F4">
        <w:rPr>
          <w:lang w:val="hr-HR"/>
        </w:rPr>
        <w:t>Zakon o VSTV-u koncipiran je prema zakonodavnim rješ</w:t>
      </w:r>
      <w:r w:rsidR="00FE2FF7">
        <w:rPr>
          <w:lang w:val="hr-HR"/>
        </w:rPr>
        <w:t>e</w:t>
      </w:r>
      <w:r w:rsidR="004C28F4">
        <w:rPr>
          <w:lang w:val="hr-HR"/>
        </w:rPr>
        <w:t xml:space="preserve">njima zemalja razvijenih demokratija, </w:t>
      </w:r>
      <w:r w:rsidR="00B7576E">
        <w:rPr>
          <w:lang w:val="hr-HR"/>
        </w:rPr>
        <w:t>čije pravne tradicije</w:t>
      </w:r>
      <w:r w:rsidR="004C28F4">
        <w:rPr>
          <w:lang w:val="hr-HR"/>
        </w:rPr>
        <w:t xml:space="preserve"> podrazumijevaju visok stepen razvijene svijesti </w:t>
      </w:r>
      <w:r w:rsidR="000F3F2E">
        <w:rPr>
          <w:lang w:val="hr-HR"/>
        </w:rPr>
        <w:t>pripadnika pravne struke</w:t>
      </w:r>
      <w:r w:rsidR="004C28F4">
        <w:rPr>
          <w:lang w:val="hr-HR"/>
        </w:rPr>
        <w:t xml:space="preserve">, kao i primjerenih i </w:t>
      </w:r>
      <w:proofErr w:type="spellStart"/>
      <w:r w:rsidR="004C28F4">
        <w:rPr>
          <w:lang w:val="hr-HR"/>
        </w:rPr>
        <w:t>odvraćajućih</w:t>
      </w:r>
      <w:proofErr w:type="spellEnd"/>
      <w:r w:rsidR="004C28F4">
        <w:rPr>
          <w:lang w:val="hr-HR"/>
        </w:rPr>
        <w:t xml:space="preserve"> sankcija za one koji pokušaju da </w:t>
      </w:r>
      <w:proofErr w:type="spellStart"/>
      <w:r w:rsidR="000F3F2E">
        <w:rPr>
          <w:lang w:val="hr-HR"/>
        </w:rPr>
        <w:t>prevarnim</w:t>
      </w:r>
      <w:proofErr w:type="spellEnd"/>
      <w:r w:rsidR="000F3F2E">
        <w:rPr>
          <w:lang w:val="hr-HR"/>
        </w:rPr>
        <w:t xml:space="preserve"> radnjama napreduju u okviru sistema. Kao što ć</w:t>
      </w:r>
      <w:r w:rsidR="00730127">
        <w:rPr>
          <w:lang w:val="hr-HR"/>
        </w:rPr>
        <w:t>u</w:t>
      </w:r>
      <w:r w:rsidR="000F3F2E">
        <w:rPr>
          <w:lang w:val="hr-HR"/>
        </w:rPr>
        <w:t xml:space="preserve"> </w:t>
      </w:r>
      <w:r w:rsidR="00730127">
        <w:rPr>
          <w:lang w:val="hr-HR"/>
        </w:rPr>
        <w:t>pokazati</w:t>
      </w:r>
      <w:r w:rsidR="000F3F2E">
        <w:rPr>
          <w:lang w:val="hr-HR"/>
        </w:rPr>
        <w:t xml:space="preserve"> na konkretnim primjerima, ovakav stepen povjerenja </w:t>
      </w:r>
      <w:r w:rsidR="007139C5">
        <w:rPr>
          <w:lang w:val="hr-HR"/>
        </w:rPr>
        <w:t xml:space="preserve">i nedostatak kontrolnih mehanizama </w:t>
      </w:r>
      <w:r w:rsidR="000F3F2E">
        <w:rPr>
          <w:lang w:val="hr-HR"/>
        </w:rPr>
        <w:t>ne odgovara trenutnom stanju u našem pravosudnom sistemu.</w:t>
      </w:r>
    </w:p>
    <w:p w14:paraId="7338ACF9" w14:textId="77777777" w:rsidR="000F3F2E" w:rsidRPr="005332E7" w:rsidRDefault="00E511FC" w:rsidP="00437165">
      <w:pPr>
        <w:spacing w:after="120"/>
        <w:ind w:right="-7"/>
        <w:jc w:val="both"/>
        <w:rPr>
          <w:i/>
          <w:iCs/>
          <w:lang w:val="hr-HR"/>
        </w:rPr>
      </w:pPr>
      <w:r w:rsidRPr="005332E7">
        <w:rPr>
          <w:i/>
          <w:iCs/>
          <w:lang w:val="hr-HR"/>
        </w:rPr>
        <w:t>2.1</w:t>
      </w:r>
      <w:r w:rsidR="00B7576E" w:rsidRPr="005332E7">
        <w:rPr>
          <w:i/>
          <w:iCs/>
          <w:lang w:val="hr-HR"/>
        </w:rPr>
        <w:t xml:space="preserve">. </w:t>
      </w:r>
      <w:bookmarkStart w:id="3" w:name="_Hlk103529654"/>
      <w:r w:rsidR="004125D3" w:rsidRPr="005332E7">
        <w:rPr>
          <w:i/>
          <w:iCs/>
          <w:lang w:val="hr-HR"/>
        </w:rPr>
        <w:t>Članstvo u političkoj stranci</w:t>
      </w:r>
      <w:r w:rsidRPr="005332E7">
        <w:rPr>
          <w:i/>
          <w:iCs/>
          <w:lang w:val="hr-HR"/>
        </w:rPr>
        <w:t xml:space="preserve"> kandidata za pravosudnu funkciju</w:t>
      </w:r>
      <w:bookmarkEnd w:id="3"/>
    </w:p>
    <w:p w14:paraId="6050B940" w14:textId="511A117E" w:rsidR="004125D3" w:rsidRDefault="004125D3" w:rsidP="004125D3">
      <w:pPr>
        <w:spacing w:after="120"/>
        <w:ind w:right="-7"/>
        <w:jc w:val="both"/>
        <w:rPr>
          <w:lang w:val="hr-HR"/>
        </w:rPr>
      </w:pPr>
      <w:r>
        <w:rPr>
          <w:lang w:val="hr-HR"/>
        </w:rPr>
        <w:t xml:space="preserve">Krajem 2016. godine, </w:t>
      </w:r>
      <w:proofErr w:type="spellStart"/>
      <w:r>
        <w:rPr>
          <w:lang w:val="hr-HR"/>
        </w:rPr>
        <w:t>aplikant</w:t>
      </w:r>
      <w:proofErr w:type="spellEnd"/>
      <w:r>
        <w:rPr>
          <w:lang w:val="hr-HR"/>
        </w:rPr>
        <w:t xml:space="preserve"> je</w:t>
      </w:r>
      <w:r w:rsidRPr="004125D3">
        <w:rPr>
          <w:lang w:val="hr-HR"/>
        </w:rPr>
        <w:t xml:space="preserve"> popunio prijavni obrazac za mjesta sudija, tužilaca i stručnih </w:t>
      </w:r>
      <w:proofErr w:type="spellStart"/>
      <w:r w:rsidRPr="004125D3">
        <w:rPr>
          <w:lang w:val="hr-HR"/>
        </w:rPr>
        <w:t>saradnika</w:t>
      </w:r>
      <w:proofErr w:type="spellEnd"/>
      <w:r w:rsidRPr="004125D3">
        <w:rPr>
          <w:lang w:val="hr-HR"/>
        </w:rPr>
        <w:t xml:space="preserve">, kojim je aplicirao na upražnjeno mjesto stručnog </w:t>
      </w:r>
      <w:proofErr w:type="spellStart"/>
      <w:r w:rsidRPr="004125D3">
        <w:rPr>
          <w:lang w:val="hr-HR"/>
        </w:rPr>
        <w:t>saradnika</w:t>
      </w:r>
      <w:proofErr w:type="spellEnd"/>
      <w:r w:rsidRPr="004125D3">
        <w:rPr>
          <w:lang w:val="hr-HR"/>
        </w:rPr>
        <w:t xml:space="preserve"> u </w:t>
      </w:r>
      <w:r>
        <w:rPr>
          <w:lang w:val="hr-HR"/>
        </w:rPr>
        <w:t>općinskom sudu</w:t>
      </w:r>
      <w:r w:rsidRPr="004125D3">
        <w:rPr>
          <w:lang w:val="hr-HR"/>
        </w:rPr>
        <w:t>. Na pitanje u obrascu „</w:t>
      </w:r>
      <w:r w:rsidRPr="00FE2FF7">
        <w:rPr>
          <w:i/>
          <w:iCs/>
          <w:lang w:val="hr-HR"/>
        </w:rPr>
        <w:t>Da li ste bili/ili ste još uvijek član političke stranke odnosno da li ste obavljali neke dužnosti u organima političke stranke, ili u udruženjima ili fondacijama povezanim sa političkim strankama</w:t>
      </w:r>
      <w:r w:rsidR="00504B85">
        <w:rPr>
          <w:lang w:val="hr-HR"/>
        </w:rPr>
        <w:t>, kandidat</w:t>
      </w:r>
      <w:r w:rsidRPr="004125D3">
        <w:rPr>
          <w:lang w:val="hr-HR"/>
        </w:rPr>
        <w:t xml:space="preserve"> je odgovorio odrično, upisivanjem kose horizontalne crte. </w:t>
      </w:r>
      <w:r w:rsidR="00504B85">
        <w:rPr>
          <w:lang w:val="hr-HR"/>
        </w:rPr>
        <w:t>Kandidat</w:t>
      </w:r>
      <w:r w:rsidRPr="004125D3">
        <w:rPr>
          <w:lang w:val="hr-HR"/>
        </w:rPr>
        <w:t xml:space="preserve"> je potpisao obrazac, uključujući i izjavu koja glasi: „</w:t>
      </w:r>
      <w:r w:rsidRPr="00FE2FF7">
        <w:rPr>
          <w:i/>
          <w:iCs/>
          <w:lang w:val="hr-HR"/>
        </w:rPr>
        <w:t xml:space="preserve">Pod materijalnom i krivičnom odgovornošću potvrđujem da su informacije navedene u ovom obrascu, kao i u svim dokumentima podnesenim kao njegov sastavni dio, istinite i </w:t>
      </w:r>
      <w:proofErr w:type="spellStart"/>
      <w:r w:rsidRPr="00FE2FF7">
        <w:rPr>
          <w:i/>
          <w:iCs/>
          <w:lang w:val="hr-HR"/>
        </w:rPr>
        <w:t>t</w:t>
      </w:r>
      <w:r w:rsidR="00F83640">
        <w:rPr>
          <w:i/>
          <w:iCs/>
          <w:lang w:val="hr-HR"/>
        </w:rPr>
        <w:t>a</w:t>
      </w:r>
      <w:r w:rsidRPr="00FE2FF7">
        <w:rPr>
          <w:i/>
          <w:iCs/>
          <w:lang w:val="hr-HR"/>
        </w:rPr>
        <w:t>čne</w:t>
      </w:r>
      <w:proofErr w:type="spellEnd"/>
      <w:r w:rsidRPr="00FE2FF7">
        <w:rPr>
          <w:i/>
          <w:iCs/>
          <w:lang w:val="hr-HR"/>
        </w:rPr>
        <w:t xml:space="preserve">. </w:t>
      </w:r>
      <w:proofErr w:type="spellStart"/>
      <w:r w:rsidRPr="00FE2FF7">
        <w:rPr>
          <w:i/>
          <w:iCs/>
          <w:lang w:val="hr-HR"/>
        </w:rPr>
        <w:t>Shvatam</w:t>
      </w:r>
      <w:proofErr w:type="spellEnd"/>
      <w:r w:rsidRPr="00FE2FF7">
        <w:rPr>
          <w:i/>
          <w:iCs/>
          <w:lang w:val="hr-HR"/>
        </w:rPr>
        <w:t xml:space="preserve"> da sam pod trajnom obavezom da ispravim svaku </w:t>
      </w:r>
      <w:proofErr w:type="spellStart"/>
      <w:r w:rsidRPr="00FE2FF7">
        <w:rPr>
          <w:i/>
          <w:iCs/>
          <w:lang w:val="hr-HR"/>
        </w:rPr>
        <w:t>net</w:t>
      </w:r>
      <w:r w:rsidR="00F83640">
        <w:rPr>
          <w:i/>
          <w:iCs/>
          <w:lang w:val="hr-HR"/>
        </w:rPr>
        <w:t>a</w:t>
      </w:r>
      <w:r w:rsidRPr="00FE2FF7">
        <w:rPr>
          <w:i/>
          <w:iCs/>
          <w:lang w:val="hr-HR"/>
        </w:rPr>
        <w:t>čnu</w:t>
      </w:r>
      <w:proofErr w:type="spellEnd"/>
      <w:r w:rsidRPr="00FE2FF7">
        <w:rPr>
          <w:i/>
          <w:iCs/>
          <w:lang w:val="hr-HR"/>
        </w:rPr>
        <w:t xml:space="preserve"> informaciju i da dostavim svaku drugu relevantnu informaciju koju saznam nakon podnošenja ovog obrasca. Isto tako razumijem da mogu biti isključen(a) iz razmatranja za imenovanje na položaj za koji sam se prijavio(la), odnosno da mogu biti razriješen(a) sa </w:t>
      </w:r>
      <w:proofErr w:type="spellStart"/>
      <w:r w:rsidRPr="00FE2FF7">
        <w:rPr>
          <w:i/>
          <w:iCs/>
          <w:lang w:val="hr-HR"/>
        </w:rPr>
        <w:t>sud</w:t>
      </w:r>
      <w:r w:rsidR="00F83640">
        <w:rPr>
          <w:i/>
          <w:iCs/>
          <w:lang w:val="hr-HR"/>
        </w:rPr>
        <w:t>ijsk</w:t>
      </w:r>
      <w:r w:rsidRPr="00FE2FF7">
        <w:rPr>
          <w:i/>
          <w:iCs/>
          <w:lang w:val="hr-HR"/>
        </w:rPr>
        <w:t>e</w:t>
      </w:r>
      <w:proofErr w:type="spellEnd"/>
      <w:r w:rsidRPr="00FE2FF7">
        <w:rPr>
          <w:i/>
          <w:iCs/>
          <w:lang w:val="hr-HR"/>
        </w:rPr>
        <w:t xml:space="preserve"> ili tuži</w:t>
      </w:r>
      <w:r w:rsidR="00F83640">
        <w:rPr>
          <w:i/>
          <w:iCs/>
          <w:lang w:val="hr-HR"/>
        </w:rPr>
        <w:t>lačke</w:t>
      </w:r>
      <w:r w:rsidRPr="00FE2FF7">
        <w:rPr>
          <w:i/>
          <w:iCs/>
          <w:lang w:val="hr-HR"/>
        </w:rPr>
        <w:t xml:space="preserve"> funkcije ukoliko se ustanovi da neki od podataka koje sam dostavio(la) nije </w:t>
      </w:r>
      <w:proofErr w:type="spellStart"/>
      <w:r w:rsidRPr="00FE2FF7">
        <w:rPr>
          <w:i/>
          <w:iCs/>
          <w:lang w:val="hr-HR"/>
        </w:rPr>
        <w:t>t</w:t>
      </w:r>
      <w:r w:rsidR="00F83640">
        <w:rPr>
          <w:i/>
          <w:iCs/>
          <w:lang w:val="hr-HR"/>
        </w:rPr>
        <w:t>a</w:t>
      </w:r>
      <w:r w:rsidRPr="00FE2FF7">
        <w:rPr>
          <w:i/>
          <w:iCs/>
          <w:lang w:val="hr-HR"/>
        </w:rPr>
        <w:t>čan</w:t>
      </w:r>
      <w:proofErr w:type="spellEnd"/>
      <w:r w:rsidRPr="00FE2FF7">
        <w:rPr>
          <w:i/>
          <w:iCs/>
          <w:lang w:val="hr-HR"/>
        </w:rPr>
        <w:t xml:space="preserve"> ili navodi na pogrešno zaključivanje</w:t>
      </w:r>
      <w:r w:rsidRPr="004125D3">
        <w:rPr>
          <w:lang w:val="hr-HR"/>
        </w:rPr>
        <w:t>.“</w:t>
      </w:r>
    </w:p>
    <w:p w14:paraId="13DFC291" w14:textId="6A53F3EB" w:rsidR="00504B85" w:rsidRDefault="00504B85" w:rsidP="005441C0">
      <w:pPr>
        <w:spacing w:after="120"/>
        <w:ind w:right="-7"/>
        <w:jc w:val="both"/>
        <w:rPr>
          <w:lang w:val="hr-HR"/>
        </w:rPr>
      </w:pPr>
      <w:r>
        <w:rPr>
          <w:lang w:val="hr-HR"/>
        </w:rPr>
        <w:t xml:space="preserve">Nakon imenovanja kandidata, jedan od </w:t>
      </w:r>
      <w:proofErr w:type="spellStart"/>
      <w:r w:rsidR="00702C1D">
        <w:rPr>
          <w:lang w:val="hr-HR"/>
        </w:rPr>
        <w:t>protivkandidata</w:t>
      </w:r>
      <w:proofErr w:type="spellEnd"/>
      <w:r>
        <w:rPr>
          <w:lang w:val="hr-HR"/>
        </w:rPr>
        <w:t xml:space="preserve"> je VSTV-u uputio žalbu u kojoj je dostavio informaciju o njegovoj političkoj </w:t>
      </w:r>
      <w:proofErr w:type="spellStart"/>
      <w:r>
        <w:rPr>
          <w:lang w:val="hr-HR"/>
        </w:rPr>
        <w:t>angažovanosti</w:t>
      </w:r>
      <w:proofErr w:type="spellEnd"/>
      <w:r>
        <w:rPr>
          <w:lang w:val="hr-HR"/>
        </w:rPr>
        <w:t xml:space="preserve"> i obavljanju dužnosti sekretara lokalnog ogranka političke stranke. Imenovani kandidat</w:t>
      </w:r>
      <w:r w:rsidR="004125D3" w:rsidRPr="004125D3">
        <w:rPr>
          <w:lang w:val="hr-HR"/>
        </w:rPr>
        <w:t xml:space="preserve"> je dostavio odgovor na </w:t>
      </w:r>
      <w:r>
        <w:rPr>
          <w:lang w:val="hr-HR"/>
        </w:rPr>
        <w:t>u kojem</w:t>
      </w:r>
      <w:r w:rsidR="004125D3" w:rsidRPr="004125D3">
        <w:rPr>
          <w:lang w:val="hr-HR"/>
        </w:rPr>
        <w:t xml:space="preserve"> je naveo da nisu </w:t>
      </w:r>
      <w:proofErr w:type="spellStart"/>
      <w:r w:rsidR="004125D3" w:rsidRPr="004125D3">
        <w:rPr>
          <w:lang w:val="hr-HR"/>
        </w:rPr>
        <w:t>tačni</w:t>
      </w:r>
      <w:proofErr w:type="spellEnd"/>
      <w:r w:rsidR="004125D3" w:rsidRPr="004125D3">
        <w:rPr>
          <w:lang w:val="hr-HR"/>
        </w:rPr>
        <w:t xml:space="preserve"> navodi da je bio član bilo koje političke stranke u trenutku imenovanja za nosioca pravosudne funkcije kao i u trenutku prijave </w:t>
      </w:r>
      <w:r w:rsidR="00F83640">
        <w:rPr>
          <w:lang w:val="hr-HR"/>
        </w:rPr>
        <w:t>na konkurs</w:t>
      </w:r>
      <w:r w:rsidR="004125D3" w:rsidRPr="004125D3">
        <w:rPr>
          <w:lang w:val="hr-HR"/>
        </w:rPr>
        <w:t>. Zbog toga što ni u prijavnom obrascu ni u kasnijim pod</w:t>
      </w:r>
      <w:r>
        <w:rPr>
          <w:lang w:val="hr-HR"/>
        </w:rPr>
        <w:t>nescima, upućenim VSTV-u, kandidat</w:t>
      </w:r>
      <w:r w:rsidR="004125D3" w:rsidRPr="004125D3">
        <w:rPr>
          <w:lang w:val="hr-HR"/>
        </w:rPr>
        <w:t xml:space="preserve"> nije naveo informaciju da je obavljao dužnost sekretara političke stranke, VSTV nije imalo u vidu ovu informaciju prilikom razmatranja informacije o njegovom imenovanju</w:t>
      </w:r>
      <w:r>
        <w:rPr>
          <w:lang w:val="hr-HR"/>
        </w:rPr>
        <w:t>, koje je potvrđeno.</w:t>
      </w:r>
    </w:p>
    <w:p w14:paraId="0A37E0E3" w14:textId="77777777" w:rsidR="00F83640" w:rsidRDefault="00504B85" w:rsidP="005441C0">
      <w:pPr>
        <w:spacing w:after="120"/>
        <w:ind w:right="-7"/>
        <w:jc w:val="both"/>
        <w:rPr>
          <w:lang w:val="hr-HR"/>
        </w:rPr>
      </w:pPr>
      <w:r>
        <w:rPr>
          <w:lang w:val="hr-HR"/>
        </w:rPr>
        <w:t>Kako je u disciplinskoj istrazi koja je uslijedila utvrđeno da je sada već stručni suradnik općinskog suda obavljao političku dužnost, podnesena je disciplinska tužba i zatraženo razrješenje od dužnosti tuženog. Odlukom Prvost</w:t>
      </w:r>
      <w:r w:rsidR="0006699E">
        <w:rPr>
          <w:lang w:val="hr-HR"/>
        </w:rPr>
        <w:t xml:space="preserve">epene disciplinske </w:t>
      </w:r>
      <w:proofErr w:type="spellStart"/>
      <w:r w:rsidR="0006699E">
        <w:rPr>
          <w:lang w:val="hr-HR"/>
        </w:rPr>
        <w:t>komsije</w:t>
      </w:r>
      <w:proofErr w:type="spellEnd"/>
      <w:r w:rsidR="0006699E">
        <w:rPr>
          <w:rStyle w:val="Funotenzeichen"/>
          <w:lang w:val="hr-HR"/>
        </w:rPr>
        <w:footnoteReference w:id="11"/>
      </w:r>
      <w:r w:rsidR="0006699E">
        <w:rPr>
          <w:lang w:val="hr-HR"/>
        </w:rPr>
        <w:t>, stručni suradnik je razriješen dužnosti. Ova odluka preinačena je odlukom Drugostepene disciplinske komisije</w:t>
      </w:r>
      <w:r w:rsidR="0006699E">
        <w:rPr>
          <w:rStyle w:val="Funotenzeichen"/>
          <w:lang w:val="hr-HR"/>
        </w:rPr>
        <w:footnoteReference w:id="12"/>
      </w:r>
      <w:r w:rsidR="0006699E">
        <w:rPr>
          <w:lang w:val="hr-HR"/>
        </w:rPr>
        <w:t>, kojom je odbijen dio disciplinske tužbe koji se odnosi na naknadnu izjavu tuženog dostavljenu VSTV-u, te mu je izrečene disciplinska mjera smanjenja plate u iznosu od 30%, na period od šest mjeseci.</w:t>
      </w:r>
      <w:r w:rsidR="00270261">
        <w:rPr>
          <w:lang w:val="hr-HR"/>
        </w:rPr>
        <w:t xml:space="preserve"> Obrazlažući izrečenu disciplinsku mjeru, žalbeni organ je, </w:t>
      </w:r>
      <w:proofErr w:type="spellStart"/>
      <w:r w:rsidR="00270261" w:rsidRPr="00270261">
        <w:rPr>
          <w:i/>
          <w:lang w:val="hr-HR"/>
        </w:rPr>
        <w:t>inter</w:t>
      </w:r>
      <w:proofErr w:type="spellEnd"/>
      <w:r w:rsidR="00270261" w:rsidRPr="00270261">
        <w:rPr>
          <w:i/>
          <w:lang w:val="hr-HR"/>
        </w:rPr>
        <w:t xml:space="preserve"> </w:t>
      </w:r>
      <w:proofErr w:type="spellStart"/>
      <w:r w:rsidR="00270261" w:rsidRPr="00270261">
        <w:rPr>
          <w:i/>
          <w:lang w:val="hr-HR"/>
        </w:rPr>
        <w:t>alia</w:t>
      </w:r>
      <w:proofErr w:type="spellEnd"/>
      <w:r w:rsidR="00270261">
        <w:rPr>
          <w:lang w:val="hr-HR"/>
        </w:rPr>
        <w:t>, naveo:</w:t>
      </w:r>
    </w:p>
    <w:p w14:paraId="1CBB1E63" w14:textId="77777777" w:rsidR="00F83640" w:rsidRPr="00E511FC" w:rsidRDefault="00270261" w:rsidP="00E511FC">
      <w:pPr>
        <w:spacing w:after="120"/>
        <w:ind w:left="567" w:right="708"/>
        <w:jc w:val="both"/>
        <w:rPr>
          <w:sz w:val="22"/>
          <w:szCs w:val="22"/>
          <w:lang w:val="hr-HR"/>
        </w:rPr>
      </w:pPr>
      <w:r w:rsidRPr="00E511FC">
        <w:rPr>
          <w:sz w:val="22"/>
          <w:szCs w:val="22"/>
          <w:lang w:val="hr-HR"/>
        </w:rPr>
        <w:lastRenderedPageBreak/>
        <w:t xml:space="preserve"> „</w:t>
      </w:r>
      <w:r w:rsidRPr="00E511FC">
        <w:rPr>
          <w:i/>
          <w:iCs/>
          <w:sz w:val="22"/>
          <w:szCs w:val="22"/>
          <w:lang w:val="hr-HR"/>
        </w:rPr>
        <w:t xml:space="preserve">Obzirom da je ova Komisija tuženog oglasila odgovornim za davanje podataka koji nisu </w:t>
      </w:r>
      <w:proofErr w:type="spellStart"/>
      <w:r w:rsidRPr="00E511FC">
        <w:rPr>
          <w:i/>
          <w:iCs/>
          <w:sz w:val="22"/>
          <w:szCs w:val="22"/>
          <w:lang w:val="hr-HR"/>
        </w:rPr>
        <w:t>tačni</w:t>
      </w:r>
      <w:proofErr w:type="spellEnd"/>
      <w:r w:rsidRPr="00E511FC">
        <w:rPr>
          <w:i/>
          <w:iCs/>
          <w:sz w:val="22"/>
          <w:szCs w:val="22"/>
          <w:lang w:val="hr-HR"/>
        </w:rPr>
        <w:t xml:space="preserve"> ili navode na pogrešno zaključivanje u prijavnom obrascu za mjesta sudija, tužilaca i stručnih </w:t>
      </w:r>
      <w:proofErr w:type="spellStart"/>
      <w:r w:rsidRPr="00E511FC">
        <w:rPr>
          <w:i/>
          <w:iCs/>
          <w:sz w:val="22"/>
          <w:szCs w:val="22"/>
          <w:lang w:val="hr-HR"/>
        </w:rPr>
        <w:t>saradnika</w:t>
      </w:r>
      <w:proofErr w:type="spellEnd"/>
      <w:r w:rsidRPr="00E511FC">
        <w:rPr>
          <w:i/>
          <w:iCs/>
          <w:sz w:val="22"/>
          <w:szCs w:val="22"/>
          <w:lang w:val="hr-HR"/>
        </w:rPr>
        <w:t xml:space="preserve">, kao i za propust da naknadno ispravi </w:t>
      </w:r>
      <w:proofErr w:type="spellStart"/>
      <w:r w:rsidRPr="00E511FC">
        <w:rPr>
          <w:i/>
          <w:iCs/>
          <w:sz w:val="22"/>
          <w:szCs w:val="22"/>
          <w:lang w:val="hr-HR"/>
        </w:rPr>
        <w:t>netačne</w:t>
      </w:r>
      <w:proofErr w:type="spellEnd"/>
      <w:r w:rsidRPr="00E511FC">
        <w:rPr>
          <w:i/>
          <w:iCs/>
          <w:sz w:val="22"/>
          <w:szCs w:val="22"/>
          <w:lang w:val="hr-HR"/>
        </w:rPr>
        <w:t xml:space="preserve"> podatke u prijavnom obrascu, a koji se odnose na njegovo radno iskustvo, prema stavu i ocjeni ove Komisije, ne predstavljaju takvu ozbiljnost i težinu učinjenog disciplinskog prekršaja da bi tuženi bio nepodoban ili nedostojan da dalje vrši dužnost stručnog </w:t>
      </w:r>
      <w:proofErr w:type="spellStart"/>
      <w:r w:rsidRPr="00E511FC">
        <w:rPr>
          <w:i/>
          <w:iCs/>
          <w:sz w:val="22"/>
          <w:szCs w:val="22"/>
          <w:lang w:val="hr-HR"/>
        </w:rPr>
        <w:t>saradnika</w:t>
      </w:r>
      <w:proofErr w:type="spellEnd"/>
      <w:r w:rsidRPr="00E511FC">
        <w:rPr>
          <w:sz w:val="22"/>
          <w:szCs w:val="22"/>
          <w:lang w:val="hr-HR"/>
        </w:rPr>
        <w:t>“</w:t>
      </w:r>
      <w:r w:rsidR="00D6346C" w:rsidRPr="00D6346C">
        <w:rPr>
          <w:rStyle w:val="Funotenzeichen"/>
          <w:sz w:val="22"/>
          <w:szCs w:val="22"/>
          <w:lang w:val="hr-HR"/>
        </w:rPr>
        <w:t xml:space="preserve"> </w:t>
      </w:r>
      <w:r w:rsidR="00D6346C" w:rsidRPr="00E511FC">
        <w:rPr>
          <w:rStyle w:val="Funotenzeichen"/>
          <w:sz w:val="22"/>
          <w:szCs w:val="22"/>
          <w:lang w:val="hr-HR"/>
        </w:rPr>
        <w:footnoteReference w:id="13"/>
      </w:r>
      <w:r w:rsidRPr="00E511FC">
        <w:rPr>
          <w:sz w:val="22"/>
          <w:szCs w:val="22"/>
          <w:lang w:val="hr-HR"/>
        </w:rPr>
        <w:t xml:space="preserve">. </w:t>
      </w:r>
    </w:p>
    <w:p w14:paraId="51897F1A" w14:textId="6C14698A" w:rsidR="00D31A18" w:rsidRDefault="00D31A18" w:rsidP="005441C0">
      <w:pPr>
        <w:spacing w:after="120"/>
        <w:ind w:right="-7"/>
        <w:jc w:val="both"/>
        <w:rPr>
          <w:lang w:val="hr-HR"/>
        </w:rPr>
      </w:pPr>
      <w:r>
        <w:rPr>
          <w:lang w:val="hr-HR"/>
        </w:rPr>
        <w:t>VSTV je</w:t>
      </w:r>
      <w:r w:rsidR="00811311">
        <w:rPr>
          <w:lang w:val="hr-HR"/>
        </w:rPr>
        <w:t xml:space="preserve"> </w:t>
      </w:r>
      <w:r>
        <w:rPr>
          <w:lang w:val="hr-HR"/>
        </w:rPr>
        <w:t xml:space="preserve">odbilo žalbu Ureda disciplinskog tužioca </w:t>
      </w:r>
      <w:r w:rsidR="006945D2">
        <w:rPr>
          <w:lang w:val="hr-HR"/>
        </w:rPr>
        <w:t xml:space="preserve">(UDT) </w:t>
      </w:r>
      <w:r>
        <w:rPr>
          <w:lang w:val="hr-HR"/>
        </w:rPr>
        <w:t>na odluku Drugostepene disciplinske komisije</w:t>
      </w:r>
      <w:r>
        <w:rPr>
          <w:rStyle w:val="Funotenzeichen"/>
          <w:lang w:val="hr-HR"/>
        </w:rPr>
        <w:footnoteReference w:id="14"/>
      </w:r>
      <w:r>
        <w:rPr>
          <w:lang w:val="hr-HR"/>
        </w:rPr>
        <w:t>, ističući u ključnom dijelu obrazloženja sljedeć</w:t>
      </w:r>
      <w:r w:rsidR="00730127">
        <w:rPr>
          <w:lang w:val="hr-HR"/>
        </w:rPr>
        <w:t>e</w:t>
      </w:r>
      <w:r>
        <w:rPr>
          <w:lang w:val="hr-HR"/>
        </w:rPr>
        <w:t xml:space="preserve">: </w:t>
      </w:r>
    </w:p>
    <w:p w14:paraId="22DDD8B2" w14:textId="147C9D7F" w:rsidR="00504B85" w:rsidRPr="00E511FC" w:rsidRDefault="00D31A18" w:rsidP="00E511FC">
      <w:pPr>
        <w:spacing w:after="120"/>
        <w:ind w:left="567" w:right="708"/>
        <w:jc w:val="both"/>
        <w:rPr>
          <w:sz w:val="22"/>
          <w:szCs w:val="22"/>
          <w:lang w:val="hr-HR"/>
        </w:rPr>
      </w:pPr>
      <w:r w:rsidRPr="00E511FC">
        <w:rPr>
          <w:sz w:val="22"/>
          <w:szCs w:val="22"/>
          <w:lang w:val="hr-HR"/>
        </w:rPr>
        <w:t>„</w:t>
      </w:r>
      <w:r w:rsidRPr="00E511FC">
        <w:rPr>
          <w:i/>
          <w:iCs/>
          <w:sz w:val="22"/>
          <w:szCs w:val="22"/>
          <w:lang w:val="hr-HR"/>
        </w:rPr>
        <w:t xml:space="preserve">Kada je u pitanju žalbeni argument UDT-a da su informacije koje kandidati dostavljaju jedini izvor saznanja o kandidatu koje VSTV ima prilikom odlučivanja da li oni ispunjavaju sve potrebne </w:t>
      </w:r>
      <w:proofErr w:type="spellStart"/>
      <w:r w:rsidRPr="00E511FC">
        <w:rPr>
          <w:i/>
          <w:iCs/>
          <w:sz w:val="22"/>
          <w:szCs w:val="22"/>
          <w:lang w:val="hr-HR"/>
        </w:rPr>
        <w:t>uslove</w:t>
      </w:r>
      <w:proofErr w:type="spellEnd"/>
      <w:r w:rsidRPr="00E511FC">
        <w:rPr>
          <w:i/>
          <w:iCs/>
          <w:sz w:val="22"/>
          <w:szCs w:val="22"/>
          <w:lang w:val="hr-HR"/>
        </w:rPr>
        <w:t>, propi</w:t>
      </w:r>
      <w:r w:rsidR="000D1D16" w:rsidRPr="00E511FC">
        <w:rPr>
          <w:i/>
          <w:iCs/>
          <w:sz w:val="22"/>
          <w:szCs w:val="22"/>
          <w:lang w:val="hr-HR"/>
        </w:rPr>
        <w:t xml:space="preserve">sane članom 22. Zakona o VSTV-u, te da VSTV nije u mogućnosti da vrši pojedinačnu provjeru svakog dostavljenog podatka ili informacije svih pojedinačnih kandidata, pa je samim tim i značaj ispravnosti i istinitosti </w:t>
      </w:r>
      <w:proofErr w:type="spellStart"/>
      <w:r w:rsidR="000D1D16" w:rsidRPr="00E511FC">
        <w:rPr>
          <w:i/>
          <w:iCs/>
          <w:sz w:val="22"/>
          <w:szCs w:val="22"/>
          <w:lang w:val="hr-HR"/>
        </w:rPr>
        <w:t>dosatavljenih</w:t>
      </w:r>
      <w:proofErr w:type="spellEnd"/>
      <w:r w:rsidR="000D1D16" w:rsidRPr="00E511FC">
        <w:rPr>
          <w:i/>
          <w:iCs/>
          <w:sz w:val="22"/>
          <w:szCs w:val="22"/>
          <w:lang w:val="hr-HR"/>
        </w:rPr>
        <w:t xml:space="preserve"> podataka od ključnog značaja, Vijeće se slaže sa istaknutim argumentom. Međutim, Vijeće je uvjerenja da svako davanje lažne, </w:t>
      </w:r>
      <w:proofErr w:type="spellStart"/>
      <w:r w:rsidR="000D1D16" w:rsidRPr="00E511FC">
        <w:rPr>
          <w:i/>
          <w:iCs/>
          <w:sz w:val="22"/>
          <w:szCs w:val="22"/>
          <w:lang w:val="hr-HR"/>
        </w:rPr>
        <w:t>obmanjive</w:t>
      </w:r>
      <w:proofErr w:type="spellEnd"/>
      <w:r w:rsidR="000D1D16" w:rsidRPr="00E511FC">
        <w:rPr>
          <w:i/>
          <w:iCs/>
          <w:sz w:val="22"/>
          <w:szCs w:val="22"/>
          <w:lang w:val="hr-HR"/>
        </w:rPr>
        <w:t xml:space="preserve"> ili nedovoljne informacije u prijavnom obrascu po automatizmu povlači disciplinsku odgovornost, te da ovisno o kojoj se informaciji radi zavisi i sankcija koja će se izreći za taj disciplinski </w:t>
      </w:r>
      <w:proofErr w:type="spellStart"/>
      <w:r w:rsidR="000D1D16" w:rsidRPr="00E511FC">
        <w:rPr>
          <w:i/>
          <w:iCs/>
          <w:sz w:val="22"/>
          <w:szCs w:val="22"/>
          <w:lang w:val="hr-HR"/>
        </w:rPr>
        <w:t>prekrša</w:t>
      </w:r>
      <w:proofErr w:type="spellEnd"/>
      <w:r w:rsidR="00730127">
        <w:rPr>
          <w:i/>
          <w:iCs/>
          <w:sz w:val="22"/>
          <w:szCs w:val="22"/>
          <w:lang w:val="hr-HR"/>
        </w:rPr>
        <w:t xml:space="preserve"> </w:t>
      </w:r>
      <w:r w:rsidR="000D1D16" w:rsidRPr="00E511FC">
        <w:rPr>
          <w:i/>
          <w:iCs/>
          <w:sz w:val="22"/>
          <w:szCs w:val="22"/>
          <w:lang w:val="hr-HR"/>
        </w:rPr>
        <w:t>j</w:t>
      </w:r>
      <w:r w:rsidR="00730127">
        <w:rPr>
          <w:i/>
          <w:iCs/>
          <w:sz w:val="22"/>
          <w:szCs w:val="22"/>
          <w:lang w:val="hr-HR"/>
        </w:rPr>
        <w:t>(</w:t>
      </w:r>
      <w:r w:rsidR="000D1D16" w:rsidRPr="00E511FC">
        <w:rPr>
          <w:i/>
          <w:iCs/>
          <w:sz w:val="22"/>
          <w:szCs w:val="22"/>
          <w:lang w:val="hr-HR"/>
        </w:rPr>
        <w:t>…</w:t>
      </w:r>
      <w:r w:rsidR="00730127">
        <w:rPr>
          <w:i/>
          <w:iCs/>
          <w:sz w:val="22"/>
          <w:szCs w:val="22"/>
          <w:lang w:val="hr-HR"/>
        </w:rPr>
        <w:t xml:space="preserve">). </w:t>
      </w:r>
      <w:r w:rsidR="000D1D16" w:rsidRPr="00E511FC">
        <w:rPr>
          <w:i/>
          <w:iCs/>
          <w:sz w:val="22"/>
          <w:szCs w:val="22"/>
          <w:lang w:val="hr-HR"/>
        </w:rPr>
        <w:t xml:space="preserve">S tim u vezi cijeneći ovaj konkretan slučaj Vijeće je uvjereno da nije opravdano izricanje teže disciplinske mjere </w:t>
      </w:r>
      <w:r w:rsidR="006945D2" w:rsidRPr="00E511FC">
        <w:rPr>
          <w:i/>
          <w:iCs/>
          <w:sz w:val="22"/>
          <w:szCs w:val="22"/>
          <w:lang w:val="hr-HR"/>
        </w:rPr>
        <w:t xml:space="preserve">u odnosu na onu koja je izrečena, te Vijeće nalazi da je izrečena disciplinska mjera adekvatna i u </w:t>
      </w:r>
      <w:proofErr w:type="spellStart"/>
      <w:r w:rsidR="006945D2" w:rsidRPr="00E511FC">
        <w:rPr>
          <w:i/>
          <w:iCs/>
          <w:sz w:val="22"/>
          <w:szCs w:val="22"/>
          <w:lang w:val="hr-HR"/>
        </w:rPr>
        <w:t>srazmjeri</w:t>
      </w:r>
      <w:proofErr w:type="spellEnd"/>
      <w:r w:rsidR="006945D2" w:rsidRPr="00E511FC">
        <w:rPr>
          <w:i/>
          <w:iCs/>
          <w:sz w:val="22"/>
          <w:szCs w:val="22"/>
          <w:lang w:val="hr-HR"/>
        </w:rPr>
        <w:t xml:space="preserve"> sa težinom disciplinskog prekršaja, kao i </w:t>
      </w:r>
      <w:proofErr w:type="spellStart"/>
      <w:r w:rsidR="006945D2" w:rsidRPr="00E511FC">
        <w:rPr>
          <w:i/>
          <w:iCs/>
          <w:sz w:val="22"/>
          <w:szCs w:val="22"/>
          <w:lang w:val="hr-HR"/>
        </w:rPr>
        <w:t>stepenom</w:t>
      </w:r>
      <w:proofErr w:type="spellEnd"/>
      <w:r w:rsidR="006945D2" w:rsidRPr="00E511FC">
        <w:rPr>
          <w:i/>
          <w:iCs/>
          <w:sz w:val="22"/>
          <w:szCs w:val="22"/>
          <w:lang w:val="hr-HR"/>
        </w:rPr>
        <w:t xml:space="preserve"> utvrđene disciplinske odgovornosti tuženog</w:t>
      </w:r>
      <w:r w:rsidR="006945D2" w:rsidRPr="00E511FC">
        <w:rPr>
          <w:sz w:val="22"/>
          <w:szCs w:val="22"/>
          <w:lang w:val="hr-HR"/>
        </w:rPr>
        <w:t>“.</w:t>
      </w:r>
    </w:p>
    <w:p w14:paraId="33CEECBF" w14:textId="77777777" w:rsidR="00E511FC" w:rsidRPr="0014331A" w:rsidRDefault="00E547CB" w:rsidP="005441C0">
      <w:pPr>
        <w:spacing w:after="120"/>
        <w:ind w:right="-7"/>
        <w:jc w:val="both"/>
        <w:rPr>
          <w:lang w:val="hr-HR"/>
        </w:rPr>
      </w:pPr>
      <w:r>
        <w:rPr>
          <w:lang w:val="hr-HR"/>
        </w:rPr>
        <w:t xml:space="preserve">U ovom primjeru vidimo da kandidat koji namjerno nije prijavio članstvo u političkoj stranci, niti je kasnije, iako je imao priliku, ispravio dostavljene informacije nije razriješen funkcije. Postavlja se pitanje </w:t>
      </w:r>
      <w:r w:rsidR="0014331A">
        <w:rPr>
          <w:lang w:val="hr-HR"/>
        </w:rPr>
        <w:t>proporcionalnosti izrečene disciplinske mjere tuženom koji i dalje radi u pravosuđu.</w:t>
      </w:r>
    </w:p>
    <w:p w14:paraId="245D2B30" w14:textId="77777777" w:rsidR="006945D2" w:rsidRPr="005332E7" w:rsidRDefault="00E511FC" w:rsidP="005441C0">
      <w:pPr>
        <w:spacing w:after="120"/>
        <w:ind w:right="-7"/>
        <w:jc w:val="both"/>
        <w:rPr>
          <w:i/>
          <w:iCs/>
          <w:lang w:val="hr-HR"/>
        </w:rPr>
      </w:pPr>
      <w:r w:rsidRPr="005332E7">
        <w:rPr>
          <w:i/>
          <w:iCs/>
          <w:lang w:val="hr-HR"/>
        </w:rPr>
        <w:t xml:space="preserve">2.2. </w:t>
      </w:r>
      <w:bookmarkStart w:id="4" w:name="_Hlk103529834"/>
      <w:r w:rsidR="006945D2" w:rsidRPr="005332E7">
        <w:rPr>
          <w:i/>
          <w:iCs/>
          <w:lang w:val="hr-HR"/>
        </w:rPr>
        <w:t xml:space="preserve">Krivična osuda kandidata za pravosudnu funkciju </w:t>
      </w:r>
      <w:bookmarkEnd w:id="4"/>
    </w:p>
    <w:p w14:paraId="254E9513" w14:textId="77777777" w:rsidR="006945D2" w:rsidRDefault="001C56AD" w:rsidP="005441C0">
      <w:pPr>
        <w:spacing w:after="120"/>
        <w:ind w:right="-7"/>
        <w:jc w:val="both"/>
        <w:rPr>
          <w:lang w:val="hr-HR"/>
        </w:rPr>
      </w:pPr>
      <w:r>
        <w:rPr>
          <w:lang w:val="hr-HR"/>
        </w:rPr>
        <w:t xml:space="preserve">UDT je, </w:t>
      </w:r>
      <w:r w:rsidR="006945D2">
        <w:rPr>
          <w:lang w:val="hr-HR"/>
        </w:rPr>
        <w:t xml:space="preserve">tokom 2018. godine, pokrenuo disciplinski postupak protiv tužioca koji je pravosnažno osuđen za izvršno krivično djelo 2008. godine. Nakon što je osuda izbrisana iz zvaničnih evidencija, tužilac je prilikom apliciranja na pravosudne pozicije, u periodu </w:t>
      </w:r>
      <w:r>
        <w:rPr>
          <w:lang w:val="hr-HR"/>
        </w:rPr>
        <w:t xml:space="preserve">2013 – 2017. godina, </w:t>
      </w:r>
      <w:r w:rsidRPr="001C56AD">
        <w:rPr>
          <w:lang w:val="hr-HR"/>
        </w:rPr>
        <w:t>na pitanje „</w:t>
      </w:r>
      <w:r w:rsidRPr="00F83640">
        <w:rPr>
          <w:i/>
          <w:iCs/>
          <w:lang w:val="hr-HR"/>
        </w:rPr>
        <w:t>Da li ste osuđivani za krivična djela? Potrebno je dati potpune podatke, uključujući naziv suda, vrstu počinjenog djela i svaku izrečenu kaznu (uključujući brisane osude).</w:t>
      </w:r>
      <w:r>
        <w:rPr>
          <w:lang w:val="hr-HR"/>
        </w:rPr>
        <w:t xml:space="preserve">“ </w:t>
      </w:r>
      <w:r w:rsidRPr="001C56AD">
        <w:rPr>
          <w:lang w:val="hr-HR"/>
        </w:rPr>
        <w:t>odgovorio: „</w:t>
      </w:r>
      <w:r w:rsidRPr="00F83640">
        <w:rPr>
          <w:i/>
          <w:iCs/>
          <w:lang w:val="hr-HR"/>
        </w:rPr>
        <w:t>Ne</w:t>
      </w:r>
      <w:r>
        <w:rPr>
          <w:lang w:val="hr-HR"/>
        </w:rPr>
        <w:t xml:space="preserve">“. Kao i u prethodnom slučaju, UDT je zatražio izricanje disciplinske mjere </w:t>
      </w:r>
      <w:proofErr w:type="spellStart"/>
      <w:r>
        <w:rPr>
          <w:lang w:val="hr-HR"/>
        </w:rPr>
        <w:t>razrješanja</w:t>
      </w:r>
      <w:proofErr w:type="spellEnd"/>
      <w:r>
        <w:rPr>
          <w:lang w:val="hr-HR"/>
        </w:rPr>
        <w:t xml:space="preserve"> od dužnosti. </w:t>
      </w:r>
    </w:p>
    <w:p w14:paraId="52B9BC10" w14:textId="77777777" w:rsidR="006501BB" w:rsidRDefault="001C56AD" w:rsidP="005441C0">
      <w:pPr>
        <w:spacing w:after="120"/>
        <w:ind w:right="-7"/>
        <w:jc w:val="both"/>
        <w:rPr>
          <w:lang w:val="hr-HR"/>
        </w:rPr>
      </w:pPr>
      <w:r>
        <w:rPr>
          <w:lang w:val="hr-HR"/>
        </w:rPr>
        <w:t>Prvostepena disciplinska komisija je donijela odluku</w:t>
      </w:r>
      <w:r w:rsidR="008440FA">
        <w:rPr>
          <w:rStyle w:val="Funotenzeichen"/>
          <w:lang w:val="hr-HR"/>
        </w:rPr>
        <w:footnoteReference w:id="15"/>
      </w:r>
      <w:r>
        <w:rPr>
          <w:lang w:val="hr-HR"/>
        </w:rPr>
        <w:t xml:space="preserve"> kojom se tuženi oglašava odgovornim, te mu je izrekla disciplinsku mjeru smanjenja plate u iznosu od 50%, na period od šest mjeseci. </w:t>
      </w:r>
      <w:r w:rsidR="006501BB">
        <w:rPr>
          <w:lang w:val="hr-HR"/>
        </w:rPr>
        <w:t>Obrazlažući izrečenu disciplinsku mjeru, komisija je navela:</w:t>
      </w:r>
    </w:p>
    <w:p w14:paraId="3A709A90" w14:textId="77777777" w:rsidR="006501BB" w:rsidRPr="004F2391" w:rsidRDefault="00634BF4" w:rsidP="004F2391">
      <w:pPr>
        <w:spacing w:after="120"/>
        <w:ind w:left="567" w:right="708"/>
        <w:jc w:val="both"/>
        <w:rPr>
          <w:i/>
          <w:iCs/>
          <w:sz w:val="22"/>
          <w:szCs w:val="22"/>
          <w:lang w:val="hr-HR"/>
        </w:rPr>
      </w:pPr>
      <w:r w:rsidRPr="004F2391">
        <w:rPr>
          <w:sz w:val="22"/>
          <w:szCs w:val="22"/>
          <w:lang w:val="hr-HR"/>
        </w:rPr>
        <w:t>„</w:t>
      </w:r>
      <w:r w:rsidR="006501BB" w:rsidRPr="004F2391">
        <w:rPr>
          <w:i/>
          <w:iCs/>
          <w:sz w:val="22"/>
          <w:szCs w:val="22"/>
          <w:lang w:val="hr-HR"/>
        </w:rPr>
        <w:t xml:space="preserve">Od olakšavajućih okolnosti na strani tuženog, Komisija je prvenstveno imala u vidu, vrijeme i okolnosti pod kojima je tuženi </w:t>
      </w:r>
      <w:r w:rsidR="005C758E">
        <w:rPr>
          <w:i/>
          <w:iCs/>
          <w:sz w:val="22"/>
          <w:szCs w:val="22"/>
          <w:lang w:val="hr-HR"/>
        </w:rPr>
        <w:t>(</w:t>
      </w:r>
      <w:r w:rsidR="006501BB" w:rsidRPr="004F2391">
        <w:rPr>
          <w:i/>
          <w:iCs/>
          <w:sz w:val="22"/>
          <w:szCs w:val="22"/>
          <w:lang w:val="hr-HR"/>
        </w:rPr>
        <w:t>…</w:t>
      </w:r>
      <w:r w:rsidR="005C758E">
        <w:rPr>
          <w:i/>
          <w:iCs/>
          <w:sz w:val="22"/>
          <w:szCs w:val="22"/>
          <w:lang w:val="hr-HR"/>
        </w:rPr>
        <w:t>)</w:t>
      </w:r>
      <w:r w:rsidR="006501BB" w:rsidRPr="004F2391">
        <w:rPr>
          <w:i/>
          <w:iCs/>
          <w:sz w:val="22"/>
          <w:szCs w:val="22"/>
          <w:lang w:val="hr-HR"/>
        </w:rPr>
        <w:t xml:space="preserve"> počinio krivično djelo za koje je pravosnažno osuđen, kao i prirodu krivičnih djela koje spada u grupu krivičnih djela protiv autorskih prava, te činjenicu da mu je za to izrečena novčana sankcija u </w:t>
      </w:r>
      <w:r w:rsidR="006501BB" w:rsidRPr="004F2391">
        <w:rPr>
          <w:i/>
          <w:iCs/>
          <w:sz w:val="22"/>
          <w:szCs w:val="22"/>
          <w:lang w:val="hr-HR"/>
        </w:rPr>
        <w:lastRenderedPageBreak/>
        <w:t>iznosu od 900 KM. Komisija je kao relativno olakšavajuće okolnosti cijenila i materijalne okolnosti koje je tuženi izveo uvidom i čitanjem na glavnoj raspravi na okolnosti svojih radnih rezultata, kao i saslušanje svjedoka … koji je izjavio da se radi o jednom od najboljih tužilaca u njegovom tužilaštvu koji je ocjenjivan izuzetno uspješnim za svoj rad.</w:t>
      </w:r>
    </w:p>
    <w:p w14:paraId="0CE65D9B" w14:textId="77777777" w:rsidR="001C56AD" w:rsidRPr="004F2391" w:rsidRDefault="006501BB" w:rsidP="004F2391">
      <w:pPr>
        <w:spacing w:after="120"/>
        <w:ind w:left="567" w:right="708"/>
        <w:jc w:val="both"/>
        <w:rPr>
          <w:sz w:val="22"/>
          <w:szCs w:val="22"/>
          <w:lang w:val="hr-HR"/>
        </w:rPr>
      </w:pPr>
      <w:r w:rsidRPr="004F2391">
        <w:rPr>
          <w:i/>
          <w:iCs/>
          <w:sz w:val="22"/>
          <w:szCs w:val="22"/>
          <w:lang w:val="hr-HR"/>
        </w:rPr>
        <w:t xml:space="preserve">Komisija je imala u vidu i dosadašnju politiku disciplinskog </w:t>
      </w:r>
      <w:proofErr w:type="spellStart"/>
      <w:r w:rsidRPr="004F2391">
        <w:rPr>
          <w:i/>
          <w:iCs/>
          <w:sz w:val="22"/>
          <w:szCs w:val="22"/>
          <w:lang w:val="hr-HR"/>
        </w:rPr>
        <w:t>sankcionisanja</w:t>
      </w:r>
      <w:proofErr w:type="spellEnd"/>
      <w:r w:rsidR="008440FA" w:rsidRPr="004F2391">
        <w:rPr>
          <w:i/>
          <w:iCs/>
          <w:sz w:val="22"/>
          <w:szCs w:val="22"/>
          <w:lang w:val="hr-HR"/>
        </w:rPr>
        <w:t>, u istim ili sličnim disciplinskim predmetima te zaključila da se u ovom konkretnom slučaju ne radi o krivičnoj osuđivanosti za krivično djelo koj</w:t>
      </w:r>
      <w:r w:rsidR="00F83640" w:rsidRPr="004F2391">
        <w:rPr>
          <w:i/>
          <w:iCs/>
          <w:sz w:val="22"/>
          <w:szCs w:val="22"/>
          <w:lang w:val="hr-HR"/>
        </w:rPr>
        <w:t>e</w:t>
      </w:r>
      <w:r w:rsidR="008440FA" w:rsidRPr="004F2391">
        <w:rPr>
          <w:i/>
          <w:iCs/>
          <w:sz w:val="22"/>
          <w:szCs w:val="22"/>
          <w:lang w:val="hr-HR"/>
        </w:rPr>
        <w:t xml:space="preserve"> spada u istu grupu krivičnih djela, te da se radi o različitim </w:t>
      </w:r>
      <w:proofErr w:type="spellStart"/>
      <w:r w:rsidR="008440FA" w:rsidRPr="004F2391">
        <w:rPr>
          <w:i/>
          <w:iCs/>
          <w:sz w:val="22"/>
          <w:szCs w:val="22"/>
          <w:lang w:val="hr-HR"/>
        </w:rPr>
        <w:t>okolnostim</w:t>
      </w:r>
      <w:proofErr w:type="spellEnd"/>
      <w:r w:rsidR="008440FA" w:rsidRPr="004F2391">
        <w:rPr>
          <w:i/>
          <w:iCs/>
          <w:sz w:val="22"/>
          <w:szCs w:val="22"/>
          <w:lang w:val="hr-HR"/>
        </w:rPr>
        <w:t xml:space="preserve"> i vremenu u kojem je djelo počinjeno, pa je uzimajući u obzir otežavajuće i olakšavajuće okolnosti na strani tuženog, zaključila da će se izrečenom disciplinskom mjerom prema tuženom osigurati pravičnost i dosljednost disciplinskog </w:t>
      </w:r>
      <w:proofErr w:type="spellStart"/>
      <w:r w:rsidR="008440FA" w:rsidRPr="004F2391">
        <w:rPr>
          <w:i/>
          <w:iCs/>
          <w:sz w:val="22"/>
          <w:szCs w:val="22"/>
          <w:lang w:val="hr-HR"/>
        </w:rPr>
        <w:t>sankcionisanja</w:t>
      </w:r>
      <w:proofErr w:type="spellEnd"/>
      <w:r w:rsidR="008440FA" w:rsidRPr="004F2391">
        <w:rPr>
          <w:i/>
          <w:iCs/>
          <w:sz w:val="22"/>
          <w:szCs w:val="22"/>
          <w:lang w:val="hr-HR"/>
        </w:rPr>
        <w:t xml:space="preserve"> nosilaca pravosudnih funkcija od strane disciplinskih organa Vijeća</w:t>
      </w:r>
      <w:r w:rsidR="00634BF4" w:rsidRPr="004F2391">
        <w:rPr>
          <w:sz w:val="22"/>
          <w:szCs w:val="22"/>
          <w:lang w:val="hr-HR"/>
        </w:rPr>
        <w:t>“</w:t>
      </w:r>
      <w:r w:rsidR="008440FA" w:rsidRPr="004F2391">
        <w:rPr>
          <w:sz w:val="22"/>
          <w:szCs w:val="22"/>
          <w:lang w:val="hr-HR"/>
        </w:rPr>
        <w:t xml:space="preserve">. </w:t>
      </w:r>
    </w:p>
    <w:p w14:paraId="7CA1CE3C" w14:textId="77777777" w:rsidR="00634BF4" w:rsidRDefault="00CC5D52" w:rsidP="006501BB">
      <w:pPr>
        <w:spacing w:after="120"/>
        <w:ind w:right="-7"/>
        <w:jc w:val="both"/>
        <w:rPr>
          <w:lang w:val="hr-HR"/>
        </w:rPr>
      </w:pPr>
      <w:r>
        <w:rPr>
          <w:lang w:val="hr-HR"/>
        </w:rPr>
        <w:t>D</w:t>
      </w:r>
      <w:r w:rsidR="00C12DBE">
        <w:rPr>
          <w:lang w:val="hr-HR"/>
        </w:rPr>
        <w:t>va m</w:t>
      </w:r>
      <w:r w:rsidR="00634BF4">
        <w:rPr>
          <w:lang w:val="hr-HR"/>
        </w:rPr>
        <w:t>jesec</w:t>
      </w:r>
      <w:r w:rsidR="00C12DBE">
        <w:rPr>
          <w:lang w:val="hr-HR"/>
        </w:rPr>
        <w:t>a prije</w:t>
      </w:r>
      <w:r w:rsidR="00634BF4">
        <w:rPr>
          <w:lang w:val="hr-HR"/>
        </w:rPr>
        <w:t xml:space="preserve"> donošenja ove odluke, UDT pokrenuo </w:t>
      </w:r>
      <w:r w:rsidR="00C12DBE">
        <w:rPr>
          <w:lang w:val="hr-HR"/>
        </w:rPr>
        <w:t xml:space="preserve">i </w:t>
      </w:r>
      <w:r w:rsidR="00634BF4">
        <w:rPr>
          <w:lang w:val="hr-HR"/>
        </w:rPr>
        <w:t xml:space="preserve">postupak protiv </w:t>
      </w:r>
      <w:proofErr w:type="spellStart"/>
      <w:r w:rsidR="00634BF4">
        <w:rPr>
          <w:lang w:val="hr-HR"/>
        </w:rPr>
        <w:t>sudije</w:t>
      </w:r>
      <w:proofErr w:type="spellEnd"/>
      <w:r w:rsidR="00634BF4">
        <w:rPr>
          <w:lang w:val="hr-HR"/>
        </w:rPr>
        <w:t xml:space="preserve"> koji je </w:t>
      </w:r>
      <w:r w:rsidR="00C12DBE">
        <w:rPr>
          <w:lang w:val="hr-HR"/>
        </w:rPr>
        <w:t>tokom 80-ih godina prošlog vijek</w:t>
      </w:r>
      <w:r w:rsidR="00634BF4">
        <w:rPr>
          <w:lang w:val="hr-HR"/>
        </w:rPr>
        <w:t xml:space="preserve">a osuđivan </w:t>
      </w:r>
      <w:r w:rsidR="000860B2">
        <w:rPr>
          <w:lang w:val="hr-HR"/>
        </w:rPr>
        <w:t>z</w:t>
      </w:r>
      <w:r w:rsidR="00634BF4">
        <w:rPr>
          <w:lang w:val="hr-HR"/>
        </w:rPr>
        <w:t xml:space="preserve">a </w:t>
      </w:r>
      <w:r w:rsidR="000860B2">
        <w:rPr>
          <w:lang w:val="hr-HR"/>
        </w:rPr>
        <w:t xml:space="preserve">izvršena </w:t>
      </w:r>
      <w:r w:rsidR="00634BF4">
        <w:rPr>
          <w:lang w:val="hr-HR"/>
        </w:rPr>
        <w:t xml:space="preserve">krivična djela lake tjelesne povrede i silovanja u pokušaju, koje </w:t>
      </w:r>
      <w:r w:rsidR="009A15C4">
        <w:rPr>
          <w:lang w:val="hr-HR"/>
        </w:rPr>
        <w:t xml:space="preserve">osude </w:t>
      </w:r>
      <w:r w:rsidR="00634BF4">
        <w:rPr>
          <w:lang w:val="hr-HR"/>
        </w:rPr>
        <w:t xml:space="preserve">nije naveo u svojim prijavnim obrascima koje je podnio prilikom apliciranja na pozicije </w:t>
      </w:r>
      <w:proofErr w:type="spellStart"/>
      <w:r w:rsidR="00634BF4">
        <w:rPr>
          <w:lang w:val="hr-HR"/>
        </w:rPr>
        <w:t>sudije</w:t>
      </w:r>
      <w:proofErr w:type="spellEnd"/>
      <w:r w:rsidR="00634BF4">
        <w:rPr>
          <w:lang w:val="hr-HR"/>
        </w:rPr>
        <w:t xml:space="preserve"> i tužioca u periodu 2003 – 2017. godine</w:t>
      </w:r>
      <w:r w:rsidR="00C12DBE">
        <w:rPr>
          <w:rStyle w:val="Funotenzeichen"/>
          <w:lang w:val="hr-HR"/>
        </w:rPr>
        <w:footnoteReference w:id="16"/>
      </w:r>
      <w:r w:rsidR="00C12DBE">
        <w:rPr>
          <w:lang w:val="hr-HR"/>
        </w:rPr>
        <w:t>.</w:t>
      </w:r>
      <w:r w:rsidR="00634BF4">
        <w:rPr>
          <w:lang w:val="hr-HR"/>
        </w:rPr>
        <w:t xml:space="preserve"> </w:t>
      </w:r>
    </w:p>
    <w:p w14:paraId="6671C636" w14:textId="77777777" w:rsidR="006C4D08" w:rsidRDefault="006C4D08" w:rsidP="006501BB">
      <w:pPr>
        <w:spacing w:after="120"/>
        <w:ind w:right="-7"/>
        <w:jc w:val="both"/>
        <w:rPr>
          <w:lang w:val="hr-HR"/>
        </w:rPr>
      </w:pPr>
      <w:r>
        <w:rPr>
          <w:lang w:val="hr-HR"/>
        </w:rPr>
        <w:t>Nakon velike polemike koja se o ova dva predmeta vodila u javnom prostoru, brojnih medijskih izvještaja o njima i reakcije međunarodne zajednice</w:t>
      </w:r>
      <w:r w:rsidR="009A15C4">
        <w:rPr>
          <w:lang w:val="hr-HR"/>
        </w:rPr>
        <w:t>,</w:t>
      </w:r>
      <w:r w:rsidR="00A64FBB">
        <w:rPr>
          <w:rStyle w:val="Funotenzeichen"/>
          <w:lang w:val="hr-HR"/>
        </w:rPr>
        <w:footnoteReference w:id="17"/>
      </w:r>
      <w:r>
        <w:rPr>
          <w:lang w:val="hr-HR"/>
        </w:rPr>
        <w:t xml:space="preserve"> Prvostepen</w:t>
      </w:r>
      <w:r w:rsidR="00A64FBB">
        <w:rPr>
          <w:lang w:val="hr-HR"/>
        </w:rPr>
        <w:t>a</w:t>
      </w:r>
      <w:r>
        <w:rPr>
          <w:lang w:val="hr-HR"/>
        </w:rPr>
        <w:t xml:space="preserve"> disciplinsk</w:t>
      </w:r>
      <w:r w:rsidR="00037850">
        <w:rPr>
          <w:lang w:val="hr-HR"/>
        </w:rPr>
        <w:t>a</w:t>
      </w:r>
      <w:r>
        <w:rPr>
          <w:lang w:val="hr-HR"/>
        </w:rPr>
        <w:t xml:space="preserve"> komisij</w:t>
      </w:r>
      <w:r w:rsidR="000860B2">
        <w:rPr>
          <w:lang w:val="hr-HR"/>
        </w:rPr>
        <w:t>a</w:t>
      </w:r>
      <w:r>
        <w:rPr>
          <w:lang w:val="hr-HR"/>
        </w:rPr>
        <w:t xml:space="preserve"> donijel</w:t>
      </w:r>
      <w:r w:rsidR="00A64FBB">
        <w:rPr>
          <w:lang w:val="hr-HR"/>
        </w:rPr>
        <w:t>a</w:t>
      </w:r>
      <w:r>
        <w:rPr>
          <w:lang w:val="hr-HR"/>
        </w:rPr>
        <w:t xml:space="preserve"> </w:t>
      </w:r>
      <w:r w:rsidR="000860B2">
        <w:rPr>
          <w:lang w:val="hr-HR"/>
        </w:rPr>
        <w:t>je</w:t>
      </w:r>
      <w:r>
        <w:rPr>
          <w:lang w:val="hr-HR"/>
        </w:rPr>
        <w:t xml:space="preserve"> odluk</w:t>
      </w:r>
      <w:r w:rsidR="00A64FBB">
        <w:rPr>
          <w:lang w:val="hr-HR"/>
        </w:rPr>
        <w:t>u</w:t>
      </w:r>
      <w:r w:rsidR="00B20A8E">
        <w:rPr>
          <w:rStyle w:val="Funotenzeichen"/>
          <w:lang w:val="hr-HR"/>
        </w:rPr>
        <w:footnoteReference w:id="18"/>
      </w:r>
      <w:r>
        <w:rPr>
          <w:lang w:val="hr-HR"/>
        </w:rPr>
        <w:t xml:space="preserve"> koj</w:t>
      </w:r>
      <w:r w:rsidR="00A64FBB">
        <w:rPr>
          <w:lang w:val="hr-HR"/>
        </w:rPr>
        <w:t>om</w:t>
      </w:r>
      <w:r>
        <w:rPr>
          <w:lang w:val="hr-HR"/>
        </w:rPr>
        <w:t xml:space="preserve"> se sudija privremeno udaljava od obavljanja dužnosti do okončanja disciplinskog postupka koji se vodio protiv nj</w:t>
      </w:r>
      <w:r w:rsidR="00A64FBB">
        <w:rPr>
          <w:lang w:val="hr-HR"/>
        </w:rPr>
        <w:t>ega</w:t>
      </w:r>
      <w:r>
        <w:rPr>
          <w:lang w:val="hr-HR"/>
        </w:rPr>
        <w:t xml:space="preserve">. </w:t>
      </w:r>
    </w:p>
    <w:p w14:paraId="4542206A" w14:textId="6D80B16A" w:rsidR="00D96821" w:rsidRDefault="00A64FBB" w:rsidP="006501BB">
      <w:pPr>
        <w:spacing w:after="120"/>
        <w:ind w:right="-7"/>
        <w:jc w:val="both"/>
        <w:rPr>
          <w:lang w:val="hr-HR"/>
        </w:rPr>
      </w:pPr>
      <w:r>
        <w:rPr>
          <w:lang w:val="hr-HR"/>
        </w:rPr>
        <w:t>Epilog ovih predmeta je da je tužilac razriješen dužnosti, nakon što je Drugostepena disciplinska komisija preinačila prvostepenu odluku, a VSTV potvrdilo</w:t>
      </w:r>
      <w:r w:rsidR="000860B2">
        <w:rPr>
          <w:lang w:val="hr-HR"/>
        </w:rPr>
        <w:t xml:space="preserve"> drugostepenu odluku</w:t>
      </w:r>
      <w:r w:rsidR="00E5273D">
        <w:rPr>
          <w:lang w:val="hr-HR"/>
        </w:rPr>
        <w:t>.</w:t>
      </w:r>
      <w:r w:rsidR="00F36950">
        <w:rPr>
          <w:lang w:val="hr-HR"/>
        </w:rPr>
        <w:t xml:space="preserve"> </w:t>
      </w:r>
      <w:r w:rsidR="00E5273D">
        <w:rPr>
          <w:lang w:val="hr-HR"/>
        </w:rPr>
        <w:t>U</w:t>
      </w:r>
      <w:r w:rsidR="00037850">
        <w:rPr>
          <w:lang w:val="hr-HR"/>
        </w:rPr>
        <w:t xml:space="preserve"> drugom predmetu </w:t>
      </w:r>
      <w:r w:rsidR="005E1F31">
        <w:rPr>
          <w:lang w:val="hr-HR"/>
        </w:rPr>
        <w:t>sudija</w:t>
      </w:r>
      <w:r w:rsidR="00E5273D">
        <w:rPr>
          <w:lang w:val="hr-HR"/>
        </w:rPr>
        <w:t xml:space="preserve"> je</w:t>
      </w:r>
      <w:r w:rsidR="005E1F31">
        <w:rPr>
          <w:lang w:val="hr-HR"/>
        </w:rPr>
        <w:t xml:space="preserve"> dao ostavku u toku disciplinskog postupka koji se </w:t>
      </w:r>
      <w:r w:rsidR="00485A3D">
        <w:rPr>
          <w:lang w:val="hr-HR"/>
        </w:rPr>
        <w:t xml:space="preserve">duži period </w:t>
      </w:r>
      <w:r w:rsidR="005E1F31">
        <w:rPr>
          <w:lang w:val="hr-HR"/>
        </w:rPr>
        <w:t>vodio protiv njega.</w:t>
      </w:r>
      <w:r>
        <w:rPr>
          <w:lang w:val="hr-HR"/>
        </w:rPr>
        <w:t xml:space="preserve"> </w:t>
      </w:r>
      <w:r w:rsidR="00485A3D">
        <w:rPr>
          <w:lang w:val="hr-HR"/>
        </w:rPr>
        <w:t xml:space="preserve"> Kolebljivost disciplinskih organa i promjena mišljenja u prvom predmetu tek nakon javnog pritiska, kao i neefikasan postupak koji se vodio protiv </w:t>
      </w:r>
      <w:proofErr w:type="spellStart"/>
      <w:r w:rsidR="00485A3D">
        <w:rPr>
          <w:lang w:val="hr-HR"/>
        </w:rPr>
        <w:t>sudije</w:t>
      </w:r>
      <w:proofErr w:type="spellEnd"/>
      <w:r w:rsidR="00485A3D">
        <w:rPr>
          <w:lang w:val="hr-HR"/>
        </w:rPr>
        <w:t xml:space="preserve"> teško da mogu predstavljati rezolutni </w:t>
      </w:r>
      <w:r w:rsidR="00A0789C">
        <w:rPr>
          <w:lang w:val="hr-HR"/>
        </w:rPr>
        <w:t xml:space="preserve">odgovor VSTV-a na neobavještavanje o krivičnoj osudi kandidata prilikom apliciranja na </w:t>
      </w:r>
      <w:proofErr w:type="spellStart"/>
      <w:r w:rsidR="00A0789C">
        <w:rPr>
          <w:lang w:val="hr-HR"/>
        </w:rPr>
        <w:t>sudijske</w:t>
      </w:r>
      <w:proofErr w:type="spellEnd"/>
      <w:r w:rsidR="00A0789C">
        <w:rPr>
          <w:lang w:val="hr-HR"/>
        </w:rPr>
        <w:t xml:space="preserve"> i tužilačke pozicije. </w:t>
      </w:r>
    </w:p>
    <w:p w14:paraId="381EC4DD" w14:textId="77777777" w:rsidR="000860B2" w:rsidRPr="005332E7" w:rsidRDefault="009A15C4" w:rsidP="006501BB">
      <w:pPr>
        <w:spacing w:after="120"/>
        <w:ind w:right="-7"/>
        <w:jc w:val="both"/>
        <w:rPr>
          <w:i/>
          <w:iCs/>
          <w:lang w:val="hr-HR"/>
        </w:rPr>
      </w:pPr>
      <w:r w:rsidRPr="005332E7">
        <w:rPr>
          <w:i/>
          <w:iCs/>
          <w:lang w:val="hr-HR"/>
        </w:rPr>
        <w:t xml:space="preserve">2.3. </w:t>
      </w:r>
      <w:proofErr w:type="spellStart"/>
      <w:r w:rsidRPr="005332E7">
        <w:rPr>
          <w:i/>
          <w:iCs/>
          <w:lang w:val="hr-HR"/>
        </w:rPr>
        <w:t>Finansijski</w:t>
      </w:r>
      <w:proofErr w:type="spellEnd"/>
      <w:r w:rsidRPr="005332E7">
        <w:rPr>
          <w:i/>
          <w:iCs/>
          <w:lang w:val="hr-HR"/>
        </w:rPr>
        <w:t xml:space="preserve"> izvještaji</w:t>
      </w:r>
      <w:r w:rsidR="000860B2" w:rsidRPr="005332E7">
        <w:rPr>
          <w:i/>
          <w:iCs/>
          <w:lang w:val="hr-HR"/>
        </w:rPr>
        <w:t xml:space="preserve"> sudija i tužilaca</w:t>
      </w:r>
    </w:p>
    <w:p w14:paraId="0F73242F" w14:textId="77777777" w:rsidR="00B21F48" w:rsidRDefault="00B21F48" w:rsidP="006501BB">
      <w:pPr>
        <w:spacing w:after="120"/>
        <w:ind w:right="-7"/>
        <w:jc w:val="both"/>
        <w:rPr>
          <w:lang w:val="hr-HR"/>
        </w:rPr>
      </w:pPr>
      <w:r>
        <w:rPr>
          <w:lang w:val="hr-HR"/>
        </w:rPr>
        <w:t>Čl. 86 Zakona o VSTV-u propisano je:</w:t>
      </w:r>
    </w:p>
    <w:p w14:paraId="4F3FE701" w14:textId="77777777" w:rsidR="009A15C4" w:rsidRPr="009A15C4" w:rsidRDefault="00B21F48" w:rsidP="009A15C4">
      <w:pPr>
        <w:spacing w:after="120"/>
        <w:ind w:left="567" w:right="708"/>
        <w:jc w:val="both"/>
        <w:rPr>
          <w:sz w:val="22"/>
          <w:szCs w:val="22"/>
          <w:lang w:val="hr-HR"/>
        </w:rPr>
      </w:pPr>
      <w:proofErr w:type="spellStart"/>
      <w:r w:rsidRPr="009A15C4">
        <w:rPr>
          <w:i/>
          <w:iCs/>
          <w:sz w:val="22"/>
          <w:szCs w:val="22"/>
          <w:lang w:val="hr-HR"/>
        </w:rPr>
        <w:t>Sudije</w:t>
      </w:r>
      <w:proofErr w:type="spellEnd"/>
      <w:r w:rsidRPr="009A15C4">
        <w:rPr>
          <w:i/>
          <w:iCs/>
          <w:sz w:val="22"/>
          <w:szCs w:val="22"/>
          <w:lang w:val="hr-HR"/>
        </w:rPr>
        <w:t xml:space="preserve"> i tužioci dostavljaju Vijeću godišnji </w:t>
      </w:r>
      <w:proofErr w:type="spellStart"/>
      <w:r w:rsidRPr="009A15C4">
        <w:rPr>
          <w:i/>
          <w:iCs/>
          <w:sz w:val="22"/>
          <w:szCs w:val="22"/>
          <w:lang w:val="hr-HR"/>
        </w:rPr>
        <w:t>finansijski</w:t>
      </w:r>
      <w:proofErr w:type="spellEnd"/>
      <w:r w:rsidRPr="009A15C4">
        <w:rPr>
          <w:i/>
          <w:iCs/>
          <w:sz w:val="22"/>
          <w:szCs w:val="22"/>
          <w:lang w:val="hr-HR"/>
        </w:rPr>
        <w:t xml:space="preserve"> izvještaj u kojem navode, između ostalog, aktivnosti koje su obavili izvan svoje dužnosti </w:t>
      </w:r>
      <w:proofErr w:type="spellStart"/>
      <w:r w:rsidRPr="009A15C4">
        <w:rPr>
          <w:i/>
          <w:iCs/>
          <w:sz w:val="22"/>
          <w:szCs w:val="22"/>
          <w:lang w:val="hr-HR"/>
        </w:rPr>
        <w:t>sudije</w:t>
      </w:r>
      <w:proofErr w:type="spellEnd"/>
      <w:r w:rsidRPr="009A15C4">
        <w:rPr>
          <w:i/>
          <w:iCs/>
          <w:sz w:val="22"/>
          <w:szCs w:val="22"/>
          <w:lang w:val="hr-HR"/>
        </w:rPr>
        <w:t xml:space="preserve"> odnosno tužioca uključujući iznose koje su naplatili. </w:t>
      </w:r>
      <w:proofErr w:type="spellStart"/>
      <w:r w:rsidRPr="009A15C4">
        <w:rPr>
          <w:i/>
          <w:iCs/>
          <w:sz w:val="22"/>
          <w:szCs w:val="22"/>
          <w:lang w:val="hr-HR"/>
        </w:rPr>
        <w:t>Finansijski</w:t>
      </w:r>
      <w:proofErr w:type="spellEnd"/>
      <w:r w:rsidRPr="009A15C4">
        <w:rPr>
          <w:i/>
          <w:iCs/>
          <w:sz w:val="22"/>
          <w:szCs w:val="22"/>
          <w:lang w:val="hr-HR"/>
        </w:rPr>
        <w:t xml:space="preserve"> izvještaj uključuje informacije o bračnom drugu i djeci s kojom žive u istom domaćinstvu, a koji posjeduju dionice ili učestvuju u rukovođenju privatnim ili javnim </w:t>
      </w:r>
      <w:proofErr w:type="spellStart"/>
      <w:r w:rsidRPr="009A15C4">
        <w:rPr>
          <w:i/>
          <w:iCs/>
          <w:sz w:val="22"/>
          <w:szCs w:val="22"/>
          <w:lang w:val="hr-HR"/>
        </w:rPr>
        <w:t>preduzećima</w:t>
      </w:r>
      <w:proofErr w:type="spellEnd"/>
      <w:r w:rsidRPr="009A15C4">
        <w:rPr>
          <w:i/>
          <w:iCs/>
          <w:sz w:val="22"/>
          <w:szCs w:val="22"/>
          <w:lang w:val="hr-HR"/>
        </w:rPr>
        <w:t xml:space="preserve"> i udruženjima, uključujući političke partije. Vijeće šalje obrasce za </w:t>
      </w:r>
      <w:proofErr w:type="spellStart"/>
      <w:r w:rsidRPr="009A15C4">
        <w:rPr>
          <w:i/>
          <w:iCs/>
          <w:sz w:val="22"/>
          <w:szCs w:val="22"/>
          <w:lang w:val="hr-HR"/>
        </w:rPr>
        <w:t>finansijske</w:t>
      </w:r>
      <w:proofErr w:type="spellEnd"/>
      <w:r w:rsidRPr="009A15C4">
        <w:rPr>
          <w:i/>
          <w:iCs/>
          <w:sz w:val="22"/>
          <w:szCs w:val="22"/>
          <w:lang w:val="hr-HR"/>
        </w:rPr>
        <w:t xml:space="preserve"> izvještaje, a može tražiti i dodatne informacije</w:t>
      </w:r>
      <w:r w:rsidRPr="009A15C4">
        <w:rPr>
          <w:sz w:val="22"/>
          <w:szCs w:val="22"/>
          <w:lang w:val="hr-HR"/>
        </w:rPr>
        <w:t>.</w:t>
      </w:r>
      <w:r w:rsidR="00007163" w:rsidRPr="009A15C4">
        <w:rPr>
          <w:sz w:val="22"/>
          <w:szCs w:val="22"/>
          <w:lang w:val="hr-HR"/>
        </w:rPr>
        <w:t xml:space="preserve"> </w:t>
      </w:r>
    </w:p>
    <w:p w14:paraId="698307B5" w14:textId="0F64338F" w:rsidR="00BA0CD0" w:rsidRDefault="00007163" w:rsidP="006501BB">
      <w:pPr>
        <w:spacing w:after="120"/>
        <w:ind w:right="-7"/>
        <w:jc w:val="both"/>
        <w:rPr>
          <w:lang w:val="hr-HR"/>
        </w:rPr>
      </w:pPr>
      <w:r>
        <w:rPr>
          <w:lang w:val="hr-HR"/>
        </w:rPr>
        <w:t xml:space="preserve">Čl. 82 </w:t>
      </w:r>
      <w:r w:rsidR="0040324D">
        <w:rPr>
          <w:lang w:val="hr-HR"/>
        </w:rPr>
        <w:t>Z</w:t>
      </w:r>
      <w:r>
        <w:rPr>
          <w:lang w:val="hr-HR"/>
        </w:rPr>
        <w:t>akona, prethodno je propisana je o</w:t>
      </w:r>
      <w:r w:rsidRPr="00007163">
        <w:rPr>
          <w:lang w:val="hr-HR"/>
        </w:rPr>
        <w:t>pća zabrana vršenja nespojivih dužnosti</w:t>
      </w:r>
      <w:r>
        <w:rPr>
          <w:lang w:val="hr-HR"/>
        </w:rPr>
        <w:t xml:space="preserve">, a čl. 83 </w:t>
      </w:r>
      <w:r w:rsidR="008C2BD4">
        <w:rPr>
          <w:lang w:val="hr-HR"/>
        </w:rPr>
        <w:t>z</w:t>
      </w:r>
      <w:r w:rsidR="008C2BD4" w:rsidRPr="008C2BD4">
        <w:rPr>
          <w:lang w:val="hr-HR"/>
        </w:rPr>
        <w:t>abrana vršenja javnih dužnosti, dužnosti iz pravne oblasti i drugih dužnosti</w:t>
      </w:r>
      <w:r w:rsidR="008C2BD4">
        <w:rPr>
          <w:lang w:val="hr-HR"/>
        </w:rPr>
        <w:t>.</w:t>
      </w:r>
      <w:r w:rsidR="00D96821">
        <w:rPr>
          <w:lang w:val="hr-HR"/>
        </w:rPr>
        <w:t xml:space="preserve"> </w:t>
      </w:r>
      <w:r w:rsidR="00B21F48">
        <w:rPr>
          <w:lang w:val="hr-HR"/>
        </w:rPr>
        <w:t xml:space="preserve">Potrebno je navesti da sam obrazac koji je propisalo VSTV sadrži i informacije o imovini nosilaca </w:t>
      </w:r>
      <w:r w:rsidR="00B21F48">
        <w:rPr>
          <w:lang w:val="hr-HR"/>
        </w:rPr>
        <w:lastRenderedPageBreak/>
        <w:t>pravosudne funkcije („</w:t>
      </w:r>
      <w:r w:rsidR="00B21F48" w:rsidRPr="00B21F48">
        <w:rPr>
          <w:i/>
          <w:iCs/>
          <w:lang w:val="hr-HR"/>
        </w:rPr>
        <w:t>može tražiti i dodatne informacije</w:t>
      </w:r>
      <w:r w:rsidR="00B21F48">
        <w:rPr>
          <w:lang w:val="hr-HR"/>
        </w:rPr>
        <w:t xml:space="preserve">“), uključujući i članova </w:t>
      </w:r>
      <w:r w:rsidR="007D5B49">
        <w:rPr>
          <w:lang w:val="hr-HR"/>
        </w:rPr>
        <w:t>njihovih porodica koji žive s njima.</w:t>
      </w:r>
      <w:r w:rsidR="00BF0442">
        <w:rPr>
          <w:lang w:val="hr-HR"/>
        </w:rPr>
        <w:t xml:space="preserve"> </w:t>
      </w:r>
      <w:r w:rsidR="007D5B49">
        <w:rPr>
          <w:lang w:val="hr-HR"/>
        </w:rPr>
        <w:t>Međutim, obim postup</w:t>
      </w:r>
      <w:r w:rsidR="00BF0442">
        <w:rPr>
          <w:lang w:val="hr-HR"/>
        </w:rPr>
        <w:t>nih radnji</w:t>
      </w:r>
      <w:r w:rsidR="007D5B49">
        <w:rPr>
          <w:lang w:val="hr-HR"/>
        </w:rPr>
        <w:t xml:space="preserve"> VSTV-a sa primljenim informacijama i podacima je vrlo ograničen. VSTV nema </w:t>
      </w:r>
      <w:r w:rsidR="00BF01D1">
        <w:rPr>
          <w:lang w:val="hr-HR"/>
        </w:rPr>
        <w:t>prerogative</w:t>
      </w:r>
      <w:r w:rsidR="007D5B49">
        <w:rPr>
          <w:lang w:val="hr-HR"/>
        </w:rPr>
        <w:t xml:space="preserve"> da utvrđuje </w:t>
      </w:r>
      <w:r w:rsidR="00BA0CD0">
        <w:rPr>
          <w:lang w:val="hr-HR"/>
        </w:rPr>
        <w:t xml:space="preserve">porijeklo prijavljene imovine, niti da se bavi pitanjima njene </w:t>
      </w:r>
      <w:proofErr w:type="spellStart"/>
      <w:r w:rsidR="00BA0CD0">
        <w:rPr>
          <w:lang w:val="hr-HR"/>
        </w:rPr>
        <w:t>srazmjernosti</w:t>
      </w:r>
      <w:proofErr w:type="spellEnd"/>
      <w:r w:rsidR="00BA0CD0">
        <w:rPr>
          <w:lang w:val="hr-HR"/>
        </w:rPr>
        <w:t xml:space="preserve"> sa prijavljenim prihodima.</w:t>
      </w:r>
    </w:p>
    <w:p w14:paraId="62CB9A8C" w14:textId="46042553" w:rsidR="00660018" w:rsidRDefault="00BA0CD0" w:rsidP="006501BB">
      <w:pPr>
        <w:spacing w:after="120"/>
        <w:ind w:right="-7"/>
        <w:jc w:val="both"/>
        <w:rPr>
          <w:lang w:val="hr-HR"/>
        </w:rPr>
      </w:pPr>
      <w:r>
        <w:rPr>
          <w:lang w:val="hr-HR"/>
        </w:rPr>
        <w:t xml:space="preserve">Neprijavljivanje aktivnosti izvan obavljanja funkcije, </w:t>
      </w:r>
      <w:r w:rsidR="0040324D">
        <w:rPr>
          <w:lang w:val="hr-HR"/>
        </w:rPr>
        <w:t xml:space="preserve">odnosno neprijavljivanje </w:t>
      </w:r>
      <w:r>
        <w:rPr>
          <w:lang w:val="hr-HR"/>
        </w:rPr>
        <w:t>prihoda i imovine moglo bi predstavljati</w:t>
      </w:r>
      <w:r w:rsidR="00B21F48">
        <w:rPr>
          <w:lang w:val="hr-HR"/>
        </w:rPr>
        <w:t xml:space="preserve"> </w:t>
      </w:r>
      <w:r>
        <w:rPr>
          <w:lang w:val="hr-HR"/>
        </w:rPr>
        <w:t xml:space="preserve">disciplinski prekršaj o kojemu je ranije bilo riječi: </w:t>
      </w:r>
      <w:r w:rsidR="00BF01D1">
        <w:rPr>
          <w:lang w:val="hr-HR"/>
        </w:rPr>
        <w:t>„</w:t>
      </w:r>
      <w:r w:rsidR="00BF01D1" w:rsidRPr="00BF01D1">
        <w:rPr>
          <w:i/>
          <w:iCs/>
          <w:lang w:val="hr-HR"/>
        </w:rPr>
        <w:t xml:space="preserve">namjerno davanje lažne, </w:t>
      </w:r>
      <w:proofErr w:type="spellStart"/>
      <w:r w:rsidR="00BF01D1" w:rsidRPr="00BF01D1">
        <w:rPr>
          <w:i/>
          <w:iCs/>
          <w:lang w:val="hr-HR"/>
        </w:rPr>
        <w:t>obmanjive</w:t>
      </w:r>
      <w:proofErr w:type="spellEnd"/>
      <w:r w:rsidR="00BF01D1" w:rsidRPr="00BF01D1">
        <w:rPr>
          <w:i/>
          <w:iCs/>
          <w:lang w:val="hr-HR"/>
        </w:rPr>
        <w:t xml:space="preserve"> ili nedovoljne informacije u vezi s prijavama za radno mjesto, disciplinskim stvarima, pitanjima unapređenja i napredovanja u službi ili bilo kojim drugim pitanjima  koja su u nadležnosti Vijeća</w:t>
      </w:r>
      <w:r w:rsidR="00BF01D1" w:rsidRPr="00BF01D1">
        <w:rPr>
          <w:lang w:val="hr-HR"/>
        </w:rPr>
        <w:t>“</w:t>
      </w:r>
      <w:r w:rsidR="00BF01D1">
        <w:rPr>
          <w:lang w:val="hr-HR"/>
        </w:rPr>
        <w:t xml:space="preserve">. Disciplinski postupci po ovom osnovu </w:t>
      </w:r>
      <w:r w:rsidR="00660018">
        <w:rPr>
          <w:lang w:val="hr-HR"/>
        </w:rPr>
        <w:t>su pokretani izuzetno rijetko</w:t>
      </w:r>
      <w:r w:rsidR="009A15C4">
        <w:rPr>
          <w:lang w:val="hr-HR"/>
        </w:rPr>
        <w:t>,</w:t>
      </w:r>
      <w:r w:rsidR="005C7ED6">
        <w:rPr>
          <w:rStyle w:val="Funotenzeichen"/>
          <w:lang w:val="hr-HR"/>
        </w:rPr>
        <w:footnoteReference w:id="19"/>
      </w:r>
      <w:r w:rsidR="00D8067A">
        <w:rPr>
          <w:lang w:val="hr-HR"/>
        </w:rPr>
        <w:t xml:space="preserve"> </w:t>
      </w:r>
      <w:r w:rsidR="00660018">
        <w:rPr>
          <w:lang w:val="hr-HR"/>
        </w:rPr>
        <w:t xml:space="preserve">s obzirom na mali broj zaprimljenih informacija o neprijavljenim aktivnostima i imovini koji bi predstavljali osnov za dalje istraživanje eventualnih povreda dužnosti. </w:t>
      </w:r>
      <w:r w:rsidR="00246C12">
        <w:rPr>
          <w:lang w:val="hr-HR"/>
        </w:rPr>
        <w:t xml:space="preserve">Uslijed nepostojanja obaveze objave imovinskih kartona, teško je pretpostaviti kako bi potencijalni podnosilac prijave znao da sudija i tužilac nije prijavio imovinu. Stoga se prijave obično oslanjaju na </w:t>
      </w:r>
      <w:r w:rsidR="00BF0442">
        <w:rPr>
          <w:lang w:val="hr-HR"/>
        </w:rPr>
        <w:t>nesigurne (</w:t>
      </w:r>
      <w:r w:rsidR="00246C12">
        <w:rPr>
          <w:lang w:val="hr-HR"/>
        </w:rPr>
        <w:t>rekla-kazala</w:t>
      </w:r>
      <w:r w:rsidR="00BF0442">
        <w:rPr>
          <w:lang w:val="hr-HR"/>
        </w:rPr>
        <w:t>)</w:t>
      </w:r>
      <w:r w:rsidR="00246C12">
        <w:rPr>
          <w:lang w:val="hr-HR"/>
        </w:rPr>
        <w:t xml:space="preserve"> izvore i/ili pretpostavke</w:t>
      </w:r>
      <w:r w:rsidR="00007163">
        <w:rPr>
          <w:lang w:val="hr-HR"/>
        </w:rPr>
        <w:t>,</w:t>
      </w:r>
      <w:r w:rsidR="00246C12">
        <w:rPr>
          <w:lang w:val="hr-HR"/>
        </w:rPr>
        <w:t xml:space="preserve"> pa i </w:t>
      </w:r>
      <w:proofErr w:type="spellStart"/>
      <w:r w:rsidR="00246C12">
        <w:rPr>
          <w:lang w:val="hr-HR"/>
        </w:rPr>
        <w:t>kvalitet</w:t>
      </w:r>
      <w:proofErr w:type="spellEnd"/>
      <w:r w:rsidR="00246C12">
        <w:rPr>
          <w:lang w:val="hr-HR"/>
        </w:rPr>
        <w:t xml:space="preserve"> navoda najčešće ne</w:t>
      </w:r>
      <w:r w:rsidR="00C50AEC">
        <w:rPr>
          <w:lang w:val="hr-HR"/>
        </w:rPr>
        <w:t xml:space="preserve"> omogućava njihovo dalje istraživanje</w:t>
      </w:r>
      <w:r w:rsidR="00246C12">
        <w:rPr>
          <w:lang w:val="hr-HR"/>
        </w:rPr>
        <w:t>.</w:t>
      </w:r>
    </w:p>
    <w:p w14:paraId="37F4C700" w14:textId="097E5C6B" w:rsidR="00C50AEC" w:rsidRDefault="008C2BD4" w:rsidP="006501BB">
      <w:pPr>
        <w:spacing w:after="120"/>
        <w:ind w:right="-7"/>
        <w:jc w:val="both"/>
        <w:rPr>
          <w:lang w:val="hr-HR"/>
        </w:rPr>
      </w:pPr>
      <w:r>
        <w:rPr>
          <w:lang w:val="hr-HR"/>
        </w:rPr>
        <w:t>I ovakvo skromno polje djelovanja UDT-a i VSTV-a dalje je suženo</w:t>
      </w:r>
      <w:r w:rsidR="00275894">
        <w:rPr>
          <w:lang w:val="hr-HR"/>
        </w:rPr>
        <w:t xml:space="preserve"> odlukom disciplinske komisije donesenom prošle godine</w:t>
      </w:r>
      <w:r w:rsidR="00275894">
        <w:rPr>
          <w:rStyle w:val="Funotenzeichen"/>
          <w:lang w:val="hr-HR"/>
        </w:rPr>
        <w:footnoteReference w:id="20"/>
      </w:r>
      <w:r w:rsidR="00275894">
        <w:rPr>
          <w:lang w:val="hr-HR"/>
        </w:rPr>
        <w:t>. Drugostepenom odlukom preinačena je odluka Prvostepene disciplinske komisije kojom je sudija oglašen odgovor</w:t>
      </w:r>
      <w:r w:rsidR="00BF0442">
        <w:rPr>
          <w:lang w:val="hr-HR"/>
        </w:rPr>
        <w:t>nim</w:t>
      </w:r>
      <w:r w:rsidR="00275894">
        <w:rPr>
          <w:lang w:val="hr-HR"/>
        </w:rPr>
        <w:t xml:space="preserve"> </w:t>
      </w:r>
      <w:r w:rsidR="00353482">
        <w:rPr>
          <w:lang w:val="hr-HR"/>
        </w:rPr>
        <w:t xml:space="preserve">za </w:t>
      </w:r>
      <w:proofErr w:type="spellStart"/>
      <w:r w:rsidR="00353482">
        <w:rPr>
          <w:lang w:val="hr-HR"/>
        </w:rPr>
        <w:t>pomenuti</w:t>
      </w:r>
      <w:proofErr w:type="spellEnd"/>
      <w:r w:rsidR="00353482">
        <w:rPr>
          <w:lang w:val="hr-HR"/>
        </w:rPr>
        <w:t xml:space="preserve"> disciplinski prekršaj jer od stupanja na funkciju 2004. godine nije prijavio nekretninu koja je bila u njegovom suvlasništvu. Svoju odluku drugostepena komisija obrazlaže </w:t>
      </w:r>
      <w:r w:rsidR="00BF0442">
        <w:rPr>
          <w:lang w:val="hr-HR"/>
        </w:rPr>
        <w:t>ovako</w:t>
      </w:r>
      <w:r w:rsidR="00353482">
        <w:rPr>
          <w:lang w:val="hr-HR"/>
        </w:rPr>
        <w:t>:</w:t>
      </w:r>
    </w:p>
    <w:p w14:paraId="4483122F" w14:textId="77777777" w:rsidR="004B1C75" w:rsidRDefault="004B1C75" w:rsidP="00BF0442">
      <w:pPr>
        <w:spacing w:after="120"/>
        <w:ind w:left="720" w:right="-7"/>
        <w:jc w:val="both"/>
        <w:rPr>
          <w:lang w:val="hr-HR"/>
        </w:rPr>
      </w:pPr>
      <w:r w:rsidRPr="0040324D">
        <w:rPr>
          <w:i/>
          <w:iCs/>
          <w:lang w:val="hr-HR"/>
        </w:rPr>
        <w:t xml:space="preserve">„(...) Drugostepena disciplinska komisija nalazi da Disciplinski tužilac nije dokazao, da je tuženi namjerno, svjesno dao nedovoljnu informaciju u godišnjim ličnim </w:t>
      </w:r>
      <w:proofErr w:type="spellStart"/>
      <w:r w:rsidRPr="0040324D">
        <w:rPr>
          <w:i/>
          <w:iCs/>
          <w:lang w:val="hr-HR"/>
        </w:rPr>
        <w:t>finansijskim</w:t>
      </w:r>
      <w:proofErr w:type="spellEnd"/>
      <w:r w:rsidRPr="0040324D">
        <w:rPr>
          <w:i/>
          <w:iCs/>
          <w:lang w:val="hr-HR"/>
        </w:rPr>
        <w:t xml:space="preserve"> izvještajima </w:t>
      </w:r>
      <w:r w:rsidR="0028478D" w:rsidRPr="0040324D">
        <w:rPr>
          <w:i/>
          <w:iCs/>
          <w:lang w:val="hr-HR"/>
        </w:rPr>
        <w:t xml:space="preserve">kad je propustio da navede imovinu (...) Ovo tim prije što Prvostepena disciplinska komisija nalazi da postoji namjera, tvrdeći da nije bitno kakav je motiv. </w:t>
      </w:r>
      <w:r w:rsidR="003B00DA" w:rsidRPr="0040324D">
        <w:rPr>
          <w:i/>
          <w:iCs/>
          <w:lang w:val="hr-HR"/>
        </w:rPr>
        <w:t>Naime, pravilno se ukazuje žalbom tuženog, da nije moguće utvrditi namjeru, ukoliko nije utvrđen motiv</w:t>
      </w:r>
      <w:r w:rsidR="003B00DA">
        <w:rPr>
          <w:lang w:val="hr-HR"/>
        </w:rPr>
        <w:t>“.</w:t>
      </w:r>
    </w:p>
    <w:p w14:paraId="5FEB35E8" w14:textId="00266E5D" w:rsidR="00CF5EB3" w:rsidRDefault="003B00DA" w:rsidP="006501BB">
      <w:pPr>
        <w:spacing w:after="120"/>
        <w:ind w:right="-7"/>
        <w:jc w:val="both"/>
        <w:rPr>
          <w:lang w:val="hr-HR"/>
        </w:rPr>
      </w:pPr>
      <w:r>
        <w:rPr>
          <w:lang w:val="hr-HR"/>
        </w:rPr>
        <w:t xml:space="preserve">Radi ilustracije pogrešnosti ovakvog stava, potrebno je navesti da je tuženi bez sumnje morao biti svjestan činjenice da je suvlasnik nekretnine, te je duži niz godina popunjavao obrazac koji sadrži i izjavu o </w:t>
      </w:r>
      <w:proofErr w:type="spellStart"/>
      <w:r>
        <w:rPr>
          <w:lang w:val="hr-HR"/>
        </w:rPr>
        <w:t>tačnosti</w:t>
      </w:r>
      <w:proofErr w:type="spellEnd"/>
      <w:r>
        <w:rPr>
          <w:lang w:val="hr-HR"/>
        </w:rPr>
        <w:t xml:space="preserve"> i potpunosti dostavljenih informacija </w:t>
      </w:r>
      <w:r w:rsidR="00CF5EB3">
        <w:rPr>
          <w:lang w:val="hr-HR"/>
        </w:rPr>
        <w:t xml:space="preserve">i podataka i </w:t>
      </w:r>
      <w:proofErr w:type="spellStart"/>
      <w:r w:rsidR="00CF5EB3">
        <w:rPr>
          <w:lang w:val="hr-HR"/>
        </w:rPr>
        <w:t>prihvatanju</w:t>
      </w:r>
      <w:proofErr w:type="spellEnd"/>
      <w:r w:rsidR="00CF5EB3">
        <w:rPr>
          <w:lang w:val="hr-HR"/>
        </w:rPr>
        <w:t xml:space="preserve"> odgovornosti u suprotnom.</w:t>
      </w:r>
      <w:r w:rsidR="00E13090">
        <w:rPr>
          <w:lang w:val="hr-HR"/>
        </w:rPr>
        <w:t xml:space="preserve"> </w:t>
      </w:r>
      <w:r w:rsidR="00CF5EB3">
        <w:rPr>
          <w:lang w:val="hr-HR"/>
        </w:rPr>
        <w:t xml:space="preserve">Kao što je vidljivo iz naziva ovog prekršaja, iz kojeg </w:t>
      </w:r>
      <w:proofErr w:type="spellStart"/>
      <w:r w:rsidR="00CF5EB3">
        <w:rPr>
          <w:lang w:val="hr-HR"/>
        </w:rPr>
        <w:t>proizilaze</w:t>
      </w:r>
      <w:proofErr w:type="spellEnd"/>
      <w:r w:rsidR="00CF5EB3">
        <w:rPr>
          <w:lang w:val="hr-HR"/>
        </w:rPr>
        <w:t xml:space="preserve"> i</w:t>
      </w:r>
      <w:r w:rsidR="00E13090">
        <w:rPr>
          <w:lang w:val="hr-HR"/>
        </w:rPr>
        <w:t xml:space="preserve"> njegovi zakonski elementi potrebna je namjera, ali ne i motiv, što je i logično. Namjera upućuje na stepen disciplinske odgovornosti (umišljaj), koji je potrebno utvrditi u smislu čl. 54 Zakona o VSTV, jer se disciplinski prekršaji mogu izvršiti umišljajno i nehatno. S druge strane, iz naziva disciplinskog prekršaj ne </w:t>
      </w:r>
      <w:proofErr w:type="spellStart"/>
      <w:r w:rsidR="00E13090">
        <w:rPr>
          <w:lang w:val="hr-HR"/>
        </w:rPr>
        <w:t>proizilazi</w:t>
      </w:r>
      <w:proofErr w:type="spellEnd"/>
      <w:r w:rsidR="00E13090">
        <w:rPr>
          <w:lang w:val="hr-HR"/>
        </w:rPr>
        <w:t xml:space="preserve"> da je potrebno utvrđivati motiv</w:t>
      </w:r>
      <w:r w:rsidR="005A2229">
        <w:rPr>
          <w:lang w:val="hr-HR"/>
        </w:rPr>
        <w:t xml:space="preserve"> njegovog izvršenja</w:t>
      </w:r>
      <w:r w:rsidR="00E13090">
        <w:rPr>
          <w:lang w:val="hr-HR"/>
        </w:rPr>
        <w:t xml:space="preserve">, jer se radi o olakšavajućoj ili otežavajućoj okolnosti koju je potrebno imati u vidu </w:t>
      </w:r>
      <w:r w:rsidR="005A2229">
        <w:rPr>
          <w:lang w:val="hr-HR"/>
        </w:rPr>
        <w:t xml:space="preserve">prilikom utvrđivanja disciplinske mjere, kako je propisano čl. 59 Zakona o VSTV-u. Konkretnom odlukom je prekoračena granica zakonske </w:t>
      </w:r>
      <w:r w:rsidR="005A2229">
        <w:rPr>
          <w:lang w:val="hr-HR"/>
        </w:rPr>
        <w:lastRenderedPageBreak/>
        <w:t xml:space="preserve">norme i njenog </w:t>
      </w:r>
      <w:proofErr w:type="spellStart"/>
      <w:r w:rsidR="005A2229">
        <w:rPr>
          <w:lang w:val="hr-HR"/>
        </w:rPr>
        <w:t>najekstenzivnijeg</w:t>
      </w:r>
      <w:proofErr w:type="spellEnd"/>
      <w:r w:rsidR="005A2229">
        <w:rPr>
          <w:lang w:val="hr-HR"/>
        </w:rPr>
        <w:t xml:space="preserve"> tumačenja i pooštren standard dokazivanja ovog prekršaja. </w:t>
      </w:r>
    </w:p>
    <w:p w14:paraId="5D7FE94F" w14:textId="77777777" w:rsidR="009673C2" w:rsidRDefault="009673C2" w:rsidP="006501BB">
      <w:pPr>
        <w:spacing w:after="120"/>
        <w:ind w:right="-7"/>
        <w:jc w:val="both"/>
        <w:rPr>
          <w:lang w:val="hr-HR"/>
        </w:rPr>
      </w:pPr>
    </w:p>
    <w:p w14:paraId="0F266859" w14:textId="77777777" w:rsidR="00702AC0" w:rsidRPr="0040324D" w:rsidRDefault="009673C2" w:rsidP="006501BB">
      <w:pPr>
        <w:spacing w:after="120"/>
        <w:ind w:right="-7"/>
        <w:jc w:val="both"/>
        <w:rPr>
          <w:b/>
          <w:bCs/>
          <w:lang w:val="hr-HR"/>
        </w:rPr>
      </w:pPr>
      <w:bookmarkStart w:id="5" w:name="_Hlk103497241"/>
      <w:r>
        <w:rPr>
          <w:b/>
          <w:bCs/>
          <w:lang w:val="hr-HR"/>
        </w:rPr>
        <w:t xml:space="preserve">3. </w:t>
      </w:r>
      <w:r w:rsidR="004C465B" w:rsidRPr="0040324D">
        <w:rPr>
          <w:b/>
          <w:bCs/>
          <w:lang w:val="hr-HR"/>
        </w:rPr>
        <w:t>Prijedlog zakona o izmjenama i dopunama Zakona o Visokom sudskom i tužilačkom vijeću BiH</w:t>
      </w:r>
    </w:p>
    <w:bookmarkEnd w:id="5"/>
    <w:p w14:paraId="4F7DE058" w14:textId="77777777" w:rsidR="004C465B" w:rsidRDefault="004C465B" w:rsidP="006501BB">
      <w:pPr>
        <w:spacing w:after="120"/>
        <w:ind w:right="-7"/>
        <w:jc w:val="both"/>
        <w:rPr>
          <w:lang w:val="hr-HR"/>
        </w:rPr>
      </w:pPr>
      <w:r>
        <w:rPr>
          <w:lang w:val="hr-HR"/>
        </w:rPr>
        <w:t xml:space="preserve">Trenutno je u parlamentarnoj proceduri </w:t>
      </w:r>
      <w:bookmarkStart w:id="6" w:name="_Hlk103532062"/>
      <w:r w:rsidRPr="004C465B">
        <w:rPr>
          <w:lang w:val="hr-HR"/>
        </w:rPr>
        <w:t>Prijedlog zakona o izmjenama i dopunama Zakona o Visokom sudskom i tužilačkom vijeću BiH</w:t>
      </w:r>
      <w:bookmarkEnd w:id="6"/>
      <w:r w:rsidR="00547B9E">
        <w:rPr>
          <w:lang w:val="hr-HR"/>
        </w:rPr>
        <w:t>.</w:t>
      </w:r>
      <w:r>
        <w:rPr>
          <w:rStyle w:val="Funotenzeichen"/>
          <w:lang w:val="hr-HR"/>
        </w:rPr>
        <w:footnoteReference w:id="21"/>
      </w:r>
    </w:p>
    <w:p w14:paraId="2B146AC9" w14:textId="77777777" w:rsidR="00FE41FE" w:rsidRDefault="00FE41FE" w:rsidP="006501BB">
      <w:pPr>
        <w:spacing w:after="120"/>
        <w:ind w:right="-7"/>
        <w:jc w:val="both"/>
        <w:rPr>
          <w:lang w:val="hr-HR"/>
        </w:rPr>
      </w:pPr>
      <w:r>
        <w:rPr>
          <w:lang w:val="hr-HR"/>
        </w:rPr>
        <w:t>Prijedlogom zakona predviđen</w:t>
      </w:r>
      <w:r w:rsidR="00901648">
        <w:rPr>
          <w:lang w:val="hr-HR"/>
        </w:rPr>
        <w:t>e su značajne izmjene u pogledu koncepta izvještavanja o imovini i interesima sudija i tužilaca</w:t>
      </w:r>
      <w:r w:rsidR="00D51FB5">
        <w:rPr>
          <w:lang w:val="hr-HR"/>
        </w:rPr>
        <w:t>, uključujući i članove VSTV-a, bez izuzetak</w:t>
      </w:r>
      <w:r w:rsidR="0040324D">
        <w:rPr>
          <w:lang w:val="hr-HR"/>
        </w:rPr>
        <w:t>a</w:t>
      </w:r>
      <w:r w:rsidR="00D51FB5">
        <w:rPr>
          <w:lang w:val="hr-HR"/>
        </w:rPr>
        <w:t xml:space="preserve"> da li se radi o </w:t>
      </w:r>
      <w:proofErr w:type="spellStart"/>
      <w:r w:rsidR="00D51FB5">
        <w:rPr>
          <w:lang w:val="hr-HR"/>
        </w:rPr>
        <w:t>sudijama</w:t>
      </w:r>
      <w:proofErr w:type="spellEnd"/>
      <w:r w:rsidR="00D51FB5">
        <w:rPr>
          <w:lang w:val="hr-HR"/>
        </w:rPr>
        <w:t xml:space="preserve"> i tužiocima ili ne</w:t>
      </w:r>
      <w:r w:rsidR="00D51FB5">
        <w:rPr>
          <w:rStyle w:val="Funotenzeichen"/>
          <w:lang w:val="hr-HR"/>
        </w:rPr>
        <w:footnoteReference w:id="22"/>
      </w:r>
      <w:r w:rsidR="00D51FB5">
        <w:rPr>
          <w:lang w:val="hr-HR"/>
        </w:rPr>
        <w:t>.</w:t>
      </w:r>
      <w:r w:rsidR="00901648">
        <w:rPr>
          <w:lang w:val="hr-HR"/>
        </w:rPr>
        <w:t xml:space="preserve"> </w:t>
      </w:r>
      <w:r w:rsidR="00B3486A">
        <w:rPr>
          <w:lang w:val="hr-HR"/>
        </w:rPr>
        <w:t>P</w:t>
      </w:r>
      <w:r w:rsidR="00032681">
        <w:rPr>
          <w:lang w:val="hr-HR"/>
        </w:rPr>
        <w:t xml:space="preserve">ropisan je detaljno obim informacija koje su nosioci pravosudnih funkcija dužni da dostave VSTV-u, </w:t>
      </w:r>
      <w:r w:rsidR="0062444E">
        <w:rPr>
          <w:lang w:val="hr-HR"/>
        </w:rPr>
        <w:t>uključujući i obavezu da „</w:t>
      </w:r>
      <w:r w:rsidR="0062444E" w:rsidRPr="0040324D">
        <w:rPr>
          <w:i/>
          <w:iCs/>
          <w:lang w:val="hr-HR"/>
        </w:rPr>
        <w:t xml:space="preserve">navedu djelatnost njegovih srodnika koji rade u pravosuđu, advokaturi, pravobranilaštvu ili </w:t>
      </w:r>
      <w:proofErr w:type="spellStart"/>
      <w:r w:rsidR="0062444E" w:rsidRPr="0040324D">
        <w:rPr>
          <w:i/>
          <w:iCs/>
          <w:lang w:val="hr-HR"/>
        </w:rPr>
        <w:t>notarijatu</w:t>
      </w:r>
      <w:proofErr w:type="spellEnd"/>
      <w:r w:rsidR="0062444E" w:rsidRPr="0040324D">
        <w:rPr>
          <w:i/>
          <w:iCs/>
          <w:lang w:val="hr-HR"/>
        </w:rPr>
        <w:t>. Srodnici uključuju srodnike po pravoj liniji, po bočnoj liniji do trećeg stepena srodstva, srodnike po tazbini do drugog stepena i dijete bračnog druga, bračne odnosno vanbračne partnere, usvojitelje i usvojenu djecu</w:t>
      </w:r>
      <w:r w:rsidR="0062444E">
        <w:rPr>
          <w:lang w:val="hr-HR"/>
        </w:rPr>
        <w:t>“</w:t>
      </w:r>
      <w:r w:rsidR="00B3486A">
        <w:rPr>
          <w:rStyle w:val="Funotenzeichen"/>
          <w:lang w:val="hr-HR"/>
        </w:rPr>
        <w:footnoteReference w:id="23"/>
      </w:r>
      <w:r w:rsidR="0062444E">
        <w:rPr>
          <w:lang w:val="hr-HR"/>
        </w:rPr>
        <w:t>.</w:t>
      </w:r>
    </w:p>
    <w:p w14:paraId="49515A31" w14:textId="77777777" w:rsidR="0062444E" w:rsidRDefault="00B739A4" w:rsidP="006501BB">
      <w:pPr>
        <w:spacing w:after="120"/>
        <w:ind w:right="-7"/>
        <w:jc w:val="both"/>
        <w:rPr>
          <w:lang w:val="hr-HR"/>
        </w:rPr>
      </w:pPr>
      <w:r>
        <w:rPr>
          <w:lang w:val="hr-HR"/>
        </w:rPr>
        <w:t>Čl. 86a propisano je da se izvještaj</w:t>
      </w:r>
      <w:r w:rsidRPr="00B739A4">
        <w:rPr>
          <w:lang w:val="hr-HR"/>
        </w:rPr>
        <w:t xml:space="preserve"> </w:t>
      </w:r>
      <w:r>
        <w:rPr>
          <w:lang w:val="hr-HR"/>
        </w:rPr>
        <w:t>„</w:t>
      </w:r>
      <w:r w:rsidRPr="00DF613C">
        <w:rPr>
          <w:i/>
          <w:iCs/>
          <w:lang w:val="hr-HR"/>
        </w:rPr>
        <w:t xml:space="preserve">objavljuje na internetskoj stranici Vijeća, u cilju jačanja integriteta, transparentnosti i povjerenja javnosti u rad pravosuđa, te radi sprečavanja sukoba interesa i drugih nedopuštenih </w:t>
      </w:r>
      <w:proofErr w:type="spellStart"/>
      <w:r w:rsidRPr="00DF613C">
        <w:rPr>
          <w:i/>
          <w:iCs/>
          <w:lang w:val="hr-HR"/>
        </w:rPr>
        <w:t>uticaja</w:t>
      </w:r>
      <w:proofErr w:type="spellEnd"/>
      <w:r w:rsidRPr="00DF613C">
        <w:rPr>
          <w:i/>
          <w:iCs/>
          <w:lang w:val="hr-HR"/>
        </w:rPr>
        <w:t xml:space="preserve"> u obavljanju dužnosti u pravosuđu</w:t>
      </w:r>
      <w:r>
        <w:rPr>
          <w:lang w:val="hr-HR"/>
        </w:rPr>
        <w:t xml:space="preserve">“. </w:t>
      </w:r>
    </w:p>
    <w:p w14:paraId="50FDD3FB" w14:textId="77777777" w:rsidR="00791AA0" w:rsidRDefault="00B3486A" w:rsidP="006501BB">
      <w:pPr>
        <w:spacing w:after="120"/>
        <w:ind w:right="-7"/>
        <w:jc w:val="both"/>
        <w:rPr>
          <w:lang w:val="hr-HR"/>
        </w:rPr>
      </w:pPr>
      <w:r>
        <w:rPr>
          <w:lang w:val="hr-HR"/>
        </w:rPr>
        <w:t xml:space="preserve">Određene </w:t>
      </w:r>
      <w:r w:rsidR="00791AA0">
        <w:rPr>
          <w:lang w:val="hr-HR"/>
        </w:rPr>
        <w:t>su vrste provjera dostavljenih izvještaja</w:t>
      </w:r>
      <w:r>
        <w:rPr>
          <w:rStyle w:val="Funotenzeichen"/>
          <w:lang w:val="hr-HR"/>
        </w:rPr>
        <w:footnoteReference w:id="24"/>
      </w:r>
      <w:r w:rsidR="00791AA0">
        <w:rPr>
          <w:lang w:val="hr-HR"/>
        </w:rPr>
        <w:t>, koje ne postoje u važećem zakonu:</w:t>
      </w:r>
    </w:p>
    <w:p w14:paraId="34BA1748" w14:textId="77777777" w:rsidR="00791AA0" w:rsidRPr="00264A41" w:rsidRDefault="00791AA0" w:rsidP="00264A41">
      <w:pPr>
        <w:numPr>
          <w:ilvl w:val="0"/>
          <w:numId w:val="34"/>
        </w:numPr>
        <w:spacing w:after="120"/>
        <w:ind w:right="-7"/>
        <w:jc w:val="both"/>
        <w:rPr>
          <w:lang w:val="hr-HR"/>
        </w:rPr>
      </w:pPr>
      <w:r w:rsidRPr="00264A41">
        <w:rPr>
          <w:lang w:val="hr-HR"/>
        </w:rPr>
        <w:t>formalne provjere, kojom se provjerava da li je izvještaj blagovremeno dostavljen i u potpunosti popunjen;</w:t>
      </w:r>
    </w:p>
    <w:p w14:paraId="621BE97D" w14:textId="77777777" w:rsidR="00791AA0" w:rsidRPr="00264A41" w:rsidRDefault="00791AA0" w:rsidP="00264A41">
      <w:pPr>
        <w:numPr>
          <w:ilvl w:val="0"/>
          <w:numId w:val="34"/>
        </w:numPr>
        <w:spacing w:after="120"/>
        <w:ind w:right="-7"/>
        <w:jc w:val="both"/>
        <w:rPr>
          <w:lang w:val="hr-HR"/>
        </w:rPr>
      </w:pPr>
      <w:r w:rsidRPr="00264A41">
        <w:rPr>
          <w:lang w:val="hr-HR"/>
        </w:rPr>
        <w:t xml:space="preserve">redovne provjere, kojom se provjerava postojanje </w:t>
      </w:r>
      <w:proofErr w:type="spellStart"/>
      <w:r w:rsidRPr="00264A41">
        <w:rPr>
          <w:lang w:val="hr-HR"/>
        </w:rPr>
        <w:t>srazmjernosti</w:t>
      </w:r>
      <w:proofErr w:type="spellEnd"/>
      <w:r w:rsidRPr="00264A41">
        <w:rPr>
          <w:lang w:val="hr-HR"/>
        </w:rPr>
        <w:t xml:space="preserve"> podataka </w:t>
      </w:r>
      <w:proofErr w:type="spellStart"/>
      <w:r w:rsidRPr="00264A41">
        <w:rPr>
          <w:lang w:val="hr-HR"/>
        </w:rPr>
        <w:t>finansijskih</w:t>
      </w:r>
      <w:proofErr w:type="spellEnd"/>
      <w:r w:rsidRPr="00264A41">
        <w:rPr>
          <w:lang w:val="hr-HR"/>
        </w:rPr>
        <w:t xml:space="preserve"> priliva i odliva koji su navedeni u izvještaju </w:t>
      </w:r>
      <w:proofErr w:type="spellStart"/>
      <w:r w:rsidRPr="00264A41">
        <w:rPr>
          <w:lang w:val="hr-HR"/>
        </w:rPr>
        <w:t>sudije</w:t>
      </w:r>
      <w:proofErr w:type="spellEnd"/>
      <w:r w:rsidRPr="00264A41">
        <w:rPr>
          <w:lang w:val="hr-HR"/>
        </w:rPr>
        <w:t xml:space="preserve">, odnosno tužioca; </w:t>
      </w:r>
    </w:p>
    <w:p w14:paraId="63D9536C" w14:textId="77777777" w:rsidR="00791AA0" w:rsidRPr="00264A41" w:rsidRDefault="00791AA0" w:rsidP="00264A41">
      <w:pPr>
        <w:numPr>
          <w:ilvl w:val="0"/>
          <w:numId w:val="34"/>
        </w:numPr>
        <w:spacing w:after="120"/>
        <w:ind w:right="-7"/>
        <w:jc w:val="both"/>
        <w:rPr>
          <w:lang w:val="hr-HR"/>
        </w:rPr>
      </w:pPr>
      <w:r w:rsidRPr="00264A41">
        <w:rPr>
          <w:lang w:val="hr-HR"/>
        </w:rPr>
        <w:t xml:space="preserve">dodatne provjere, kojom se provjerava </w:t>
      </w:r>
      <w:proofErr w:type="spellStart"/>
      <w:r w:rsidRPr="00264A41">
        <w:rPr>
          <w:lang w:val="hr-HR"/>
        </w:rPr>
        <w:t>tačnost</w:t>
      </w:r>
      <w:proofErr w:type="spellEnd"/>
      <w:r w:rsidRPr="00264A41">
        <w:rPr>
          <w:lang w:val="hr-HR"/>
        </w:rPr>
        <w:t xml:space="preserve"> podataka navedenih u izvještaju, njihovim </w:t>
      </w:r>
      <w:proofErr w:type="spellStart"/>
      <w:r w:rsidRPr="00264A41">
        <w:rPr>
          <w:lang w:val="hr-HR"/>
        </w:rPr>
        <w:t>upoređivanjem</w:t>
      </w:r>
      <w:proofErr w:type="spellEnd"/>
      <w:r w:rsidRPr="00264A41">
        <w:rPr>
          <w:lang w:val="hr-HR"/>
        </w:rPr>
        <w:t xml:space="preserve"> sa naknadno prikupljenim</w:t>
      </w:r>
      <w:r w:rsidR="00264A41">
        <w:rPr>
          <w:lang w:val="hr-HR"/>
        </w:rPr>
        <w:t xml:space="preserve"> podacima</w:t>
      </w:r>
      <w:r w:rsidRPr="00264A41">
        <w:rPr>
          <w:lang w:val="hr-HR"/>
        </w:rPr>
        <w:t>.</w:t>
      </w:r>
    </w:p>
    <w:p w14:paraId="23624F78" w14:textId="0E658D0D" w:rsidR="00A86079" w:rsidRDefault="00F45B78" w:rsidP="00F45B78">
      <w:pPr>
        <w:spacing w:after="120"/>
        <w:ind w:right="-7"/>
        <w:jc w:val="both"/>
        <w:rPr>
          <w:lang w:val="hr-HR"/>
        </w:rPr>
      </w:pPr>
      <w:r w:rsidRPr="00F45B78">
        <w:rPr>
          <w:lang w:val="hr-HR"/>
        </w:rPr>
        <w:t>Dodatna provjera, kojom može biti obuhvaćen cijeli izvještaj ili pojedini navodi iz izvještaja se</w:t>
      </w:r>
      <w:r>
        <w:rPr>
          <w:lang w:val="hr-HR"/>
        </w:rPr>
        <w:t xml:space="preserve">, između ostalog, </w:t>
      </w:r>
      <w:r w:rsidRPr="00F45B78">
        <w:rPr>
          <w:lang w:val="hr-HR"/>
        </w:rPr>
        <w:t>provod</w:t>
      </w:r>
      <w:r w:rsidR="0040324D">
        <w:rPr>
          <w:lang w:val="hr-HR"/>
        </w:rPr>
        <w:t>i i</w:t>
      </w:r>
      <w:r>
        <w:rPr>
          <w:lang w:val="hr-HR"/>
        </w:rPr>
        <w:t xml:space="preserve"> a</w:t>
      </w:r>
      <w:r w:rsidRPr="00F45B78">
        <w:rPr>
          <w:lang w:val="hr-HR"/>
        </w:rPr>
        <w:t xml:space="preserve">ko se redovnom provjerom izvještaja utvrdi nesrazmjer podataka između </w:t>
      </w:r>
      <w:proofErr w:type="spellStart"/>
      <w:r w:rsidRPr="00F45B78">
        <w:rPr>
          <w:lang w:val="hr-HR"/>
        </w:rPr>
        <w:t>finansijskog</w:t>
      </w:r>
      <w:proofErr w:type="spellEnd"/>
      <w:r w:rsidRPr="00F45B78">
        <w:rPr>
          <w:lang w:val="hr-HR"/>
        </w:rPr>
        <w:t xml:space="preserve"> priliva i </w:t>
      </w:r>
      <w:proofErr w:type="spellStart"/>
      <w:r w:rsidRPr="00F45B78">
        <w:rPr>
          <w:lang w:val="hr-HR"/>
        </w:rPr>
        <w:t>finansijskog</w:t>
      </w:r>
      <w:proofErr w:type="spellEnd"/>
      <w:r w:rsidRPr="00F45B78">
        <w:rPr>
          <w:lang w:val="hr-HR"/>
        </w:rPr>
        <w:t xml:space="preserve"> odliva</w:t>
      </w:r>
      <w:r>
        <w:rPr>
          <w:lang w:val="hr-HR"/>
        </w:rPr>
        <w:t>, a moguć je i nasumičan odabir</w:t>
      </w:r>
      <w:r w:rsidR="00B3486A">
        <w:rPr>
          <w:rStyle w:val="Funotenzeichen"/>
          <w:lang w:val="hr-HR"/>
        </w:rPr>
        <w:footnoteReference w:id="25"/>
      </w:r>
      <w:r w:rsidR="00AE757B">
        <w:rPr>
          <w:lang w:val="hr-HR"/>
        </w:rPr>
        <w:t>.</w:t>
      </w:r>
      <w:r w:rsidR="00D51FB5">
        <w:rPr>
          <w:lang w:val="hr-HR"/>
        </w:rPr>
        <w:t xml:space="preserve"> Provjere vrši posebna organizaciona jedinica VSTV-a - </w:t>
      </w:r>
      <w:r w:rsidR="00D51FB5" w:rsidRPr="00D51FB5">
        <w:rPr>
          <w:lang w:val="hr-HR"/>
        </w:rPr>
        <w:t>Jedinica za provođenje postupka po izvještajima</w:t>
      </w:r>
      <w:r w:rsidR="00D51FB5">
        <w:rPr>
          <w:lang w:val="hr-HR"/>
        </w:rPr>
        <w:t xml:space="preserve">, a u svrhu praćenja njenog rada, VSTV može </w:t>
      </w:r>
      <w:proofErr w:type="spellStart"/>
      <w:r w:rsidR="00D51FB5">
        <w:rPr>
          <w:lang w:val="hr-HR"/>
        </w:rPr>
        <w:t>angažovati</w:t>
      </w:r>
      <w:proofErr w:type="spellEnd"/>
      <w:r w:rsidR="00D51FB5">
        <w:rPr>
          <w:lang w:val="hr-HR"/>
        </w:rPr>
        <w:t xml:space="preserve"> i vanjske stručnjake</w:t>
      </w:r>
      <w:r w:rsidR="001E565F">
        <w:rPr>
          <w:rStyle w:val="Funotenzeichen"/>
          <w:lang w:val="hr-HR"/>
        </w:rPr>
        <w:footnoteReference w:id="26"/>
      </w:r>
      <w:r w:rsidR="00D51FB5">
        <w:rPr>
          <w:lang w:val="hr-HR"/>
        </w:rPr>
        <w:t xml:space="preserve">. </w:t>
      </w:r>
    </w:p>
    <w:p w14:paraId="0D8F8464" w14:textId="77777777" w:rsidR="00AE757B" w:rsidRPr="00AE757B" w:rsidRDefault="00AE757B" w:rsidP="00AE757B">
      <w:pPr>
        <w:spacing w:after="120"/>
        <w:ind w:right="-7"/>
        <w:jc w:val="both"/>
        <w:rPr>
          <w:lang w:val="hr-HR"/>
        </w:rPr>
      </w:pPr>
      <w:r w:rsidRPr="00AE757B">
        <w:rPr>
          <w:lang w:val="hr-HR"/>
        </w:rPr>
        <w:t>Postupkom dodatne provjere izvještaja, mogu se utvrditi sljedeće nepravilnosti</w:t>
      </w:r>
      <w:r w:rsidR="001E565F">
        <w:rPr>
          <w:rStyle w:val="Funotenzeichen"/>
          <w:lang w:val="hr-HR"/>
        </w:rPr>
        <w:footnoteReference w:id="27"/>
      </w:r>
      <w:r w:rsidRPr="00AE757B">
        <w:rPr>
          <w:lang w:val="hr-HR"/>
        </w:rPr>
        <w:t>:</w:t>
      </w:r>
    </w:p>
    <w:p w14:paraId="55D6A2FB" w14:textId="77777777" w:rsidR="00AE757B" w:rsidRPr="00AE757B" w:rsidRDefault="00AE757B" w:rsidP="00995796">
      <w:pPr>
        <w:tabs>
          <w:tab w:val="left" w:pos="567"/>
        </w:tabs>
        <w:spacing w:after="120"/>
        <w:ind w:left="284" w:right="-6"/>
        <w:jc w:val="both"/>
        <w:rPr>
          <w:lang w:val="hr-HR"/>
        </w:rPr>
      </w:pPr>
      <w:r w:rsidRPr="00AE757B">
        <w:rPr>
          <w:lang w:val="hr-HR"/>
        </w:rPr>
        <w:lastRenderedPageBreak/>
        <w:t>a)</w:t>
      </w:r>
      <w:r w:rsidRPr="00AE757B">
        <w:rPr>
          <w:lang w:val="hr-HR"/>
        </w:rPr>
        <w:tab/>
        <w:t>nedostatak  podataka u izvještaju;</w:t>
      </w:r>
    </w:p>
    <w:p w14:paraId="263748EF" w14:textId="77777777" w:rsidR="00AE757B" w:rsidRPr="00AE757B" w:rsidRDefault="00AE757B" w:rsidP="00995796">
      <w:pPr>
        <w:tabs>
          <w:tab w:val="left" w:pos="567"/>
        </w:tabs>
        <w:spacing w:after="120"/>
        <w:ind w:left="284" w:right="-6"/>
        <w:jc w:val="both"/>
        <w:rPr>
          <w:lang w:val="hr-HR"/>
        </w:rPr>
      </w:pPr>
      <w:r w:rsidRPr="00AE757B">
        <w:rPr>
          <w:lang w:val="hr-HR"/>
        </w:rPr>
        <w:t>b)</w:t>
      </w:r>
      <w:r w:rsidRPr="00AE757B">
        <w:rPr>
          <w:lang w:val="hr-HR"/>
        </w:rPr>
        <w:tab/>
        <w:t xml:space="preserve">navođenje </w:t>
      </w:r>
      <w:proofErr w:type="spellStart"/>
      <w:r w:rsidRPr="00AE757B">
        <w:rPr>
          <w:lang w:val="hr-HR"/>
        </w:rPr>
        <w:t>netačnih</w:t>
      </w:r>
      <w:proofErr w:type="spellEnd"/>
      <w:r w:rsidRPr="00AE757B">
        <w:rPr>
          <w:lang w:val="hr-HR"/>
        </w:rPr>
        <w:t xml:space="preserve"> podataka u izvještaju;</w:t>
      </w:r>
    </w:p>
    <w:p w14:paraId="31F5B2D2" w14:textId="77777777" w:rsidR="00AE757B" w:rsidRPr="00AE757B" w:rsidRDefault="00AE757B" w:rsidP="00995796">
      <w:pPr>
        <w:tabs>
          <w:tab w:val="left" w:pos="567"/>
        </w:tabs>
        <w:spacing w:after="120"/>
        <w:ind w:left="284" w:right="-6"/>
        <w:jc w:val="both"/>
        <w:rPr>
          <w:lang w:val="hr-HR"/>
        </w:rPr>
      </w:pPr>
      <w:r w:rsidRPr="00AE757B">
        <w:rPr>
          <w:lang w:val="hr-HR"/>
        </w:rPr>
        <w:t>c)</w:t>
      </w:r>
      <w:r w:rsidRPr="00AE757B">
        <w:rPr>
          <w:lang w:val="hr-HR"/>
        </w:rPr>
        <w:tab/>
        <w:t>prikrivanje imovine, obaveza, prihoda ili rashoda;</w:t>
      </w:r>
    </w:p>
    <w:p w14:paraId="39D9EC65" w14:textId="77777777" w:rsidR="00AE757B" w:rsidRPr="00AE757B" w:rsidRDefault="00AE757B" w:rsidP="00995796">
      <w:pPr>
        <w:tabs>
          <w:tab w:val="left" w:pos="567"/>
        </w:tabs>
        <w:spacing w:after="120"/>
        <w:ind w:left="284" w:right="-6"/>
        <w:jc w:val="both"/>
        <w:rPr>
          <w:lang w:val="hr-HR"/>
        </w:rPr>
      </w:pPr>
      <w:r w:rsidRPr="00AE757B">
        <w:rPr>
          <w:lang w:val="hr-HR"/>
        </w:rPr>
        <w:t>d)</w:t>
      </w:r>
      <w:r w:rsidRPr="00AE757B">
        <w:rPr>
          <w:lang w:val="hr-HR"/>
        </w:rPr>
        <w:tab/>
        <w:t xml:space="preserve">nesrazmjer između podataka </w:t>
      </w:r>
      <w:proofErr w:type="spellStart"/>
      <w:r w:rsidRPr="00AE757B">
        <w:rPr>
          <w:lang w:val="hr-HR"/>
        </w:rPr>
        <w:t>finansijskog</w:t>
      </w:r>
      <w:proofErr w:type="spellEnd"/>
      <w:r w:rsidRPr="00AE757B">
        <w:rPr>
          <w:lang w:val="hr-HR"/>
        </w:rPr>
        <w:t xml:space="preserve"> priliva i </w:t>
      </w:r>
      <w:proofErr w:type="spellStart"/>
      <w:r w:rsidRPr="00AE757B">
        <w:rPr>
          <w:lang w:val="hr-HR"/>
        </w:rPr>
        <w:t>finansijskog</w:t>
      </w:r>
      <w:proofErr w:type="spellEnd"/>
      <w:r w:rsidRPr="00AE757B">
        <w:rPr>
          <w:lang w:val="hr-HR"/>
        </w:rPr>
        <w:t xml:space="preserve"> odliva, koju sudija, tužilac, odnosno član Vijeća ne može objasniti;</w:t>
      </w:r>
    </w:p>
    <w:p w14:paraId="784EAAD1" w14:textId="77777777" w:rsidR="00AE757B" w:rsidRPr="00AE757B" w:rsidRDefault="00AE757B" w:rsidP="00995796">
      <w:pPr>
        <w:tabs>
          <w:tab w:val="left" w:pos="567"/>
        </w:tabs>
        <w:spacing w:after="120"/>
        <w:ind w:left="284" w:right="-6"/>
        <w:jc w:val="both"/>
        <w:rPr>
          <w:lang w:val="hr-HR"/>
        </w:rPr>
      </w:pPr>
      <w:r w:rsidRPr="00AE757B">
        <w:rPr>
          <w:lang w:val="hr-HR"/>
        </w:rPr>
        <w:t>e)</w:t>
      </w:r>
      <w:r w:rsidRPr="00AE757B">
        <w:rPr>
          <w:lang w:val="hr-HR"/>
        </w:rPr>
        <w:tab/>
        <w:t xml:space="preserve">prikrivanje aktivnosti koja je nespojiva sa dužnošću </w:t>
      </w:r>
      <w:proofErr w:type="spellStart"/>
      <w:r w:rsidRPr="00AE757B">
        <w:rPr>
          <w:lang w:val="hr-HR"/>
        </w:rPr>
        <w:t>sudije</w:t>
      </w:r>
      <w:proofErr w:type="spellEnd"/>
      <w:r w:rsidRPr="00AE757B">
        <w:rPr>
          <w:lang w:val="hr-HR"/>
        </w:rPr>
        <w:t>, tužioca odnosno člana Vijeća;</w:t>
      </w:r>
    </w:p>
    <w:p w14:paraId="7CFC02BE" w14:textId="77777777" w:rsidR="00AE757B" w:rsidRPr="00AE757B" w:rsidRDefault="00AE757B" w:rsidP="00995796">
      <w:pPr>
        <w:tabs>
          <w:tab w:val="left" w:pos="567"/>
        </w:tabs>
        <w:spacing w:after="120"/>
        <w:ind w:left="284" w:right="-6"/>
        <w:jc w:val="both"/>
        <w:rPr>
          <w:lang w:val="hr-HR"/>
        </w:rPr>
      </w:pPr>
      <w:r w:rsidRPr="00AE757B">
        <w:rPr>
          <w:lang w:val="hr-HR"/>
        </w:rPr>
        <w:t>f)</w:t>
      </w:r>
      <w:r w:rsidRPr="00AE757B">
        <w:rPr>
          <w:lang w:val="hr-HR"/>
        </w:rPr>
        <w:tab/>
        <w:t xml:space="preserve">prikrivanje informacija koje ukazuju na mogućnost postojanja sukoba interesa </w:t>
      </w:r>
      <w:proofErr w:type="spellStart"/>
      <w:r w:rsidRPr="00AE757B">
        <w:rPr>
          <w:lang w:val="hr-HR"/>
        </w:rPr>
        <w:t>sudije</w:t>
      </w:r>
      <w:proofErr w:type="spellEnd"/>
      <w:r w:rsidRPr="00AE757B">
        <w:rPr>
          <w:lang w:val="hr-HR"/>
        </w:rPr>
        <w:t>, tužioca odnosno člana Vijeća.</w:t>
      </w:r>
    </w:p>
    <w:p w14:paraId="6B0225BD" w14:textId="77777777" w:rsidR="00AE757B" w:rsidRPr="00F45B78" w:rsidRDefault="00AE757B" w:rsidP="00F45B78">
      <w:pPr>
        <w:spacing w:after="120"/>
        <w:ind w:right="-7"/>
        <w:jc w:val="both"/>
        <w:rPr>
          <w:lang w:val="hr-HR"/>
        </w:rPr>
      </w:pPr>
      <w:r>
        <w:rPr>
          <w:lang w:val="hr-HR"/>
        </w:rPr>
        <w:t xml:space="preserve">Bilo koja od ovih nepravilnosti </w:t>
      </w:r>
      <w:r w:rsidR="00263C40">
        <w:rPr>
          <w:lang w:val="hr-HR"/>
        </w:rPr>
        <w:t xml:space="preserve">može predstavljati disciplinski prekršaj. Zanimljivo je </w:t>
      </w:r>
      <w:r w:rsidR="0040324D">
        <w:rPr>
          <w:lang w:val="hr-HR"/>
        </w:rPr>
        <w:t xml:space="preserve">predloženo </w:t>
      </w:r>
      <w:r w:rsidR="00263C40">
        <w:rPr>
          <w:lang w:val="hr-HR"/>
        </w:rPr>
        <w:t xml:space="preserve">rješenje da se teret dokazivanja u eventualnim disciplinskim postupcima </w:t>
      </w:r>
      <w:r w:rsidR="001E4EE0">
        <w:rPr>
          <w:lang w:val="hr-HR"/>
        </w:rPr>
        <w:t xml:space="preserve">prebacuje na tuženog </w:t>
      </w:r>
      <w:proofErr w:type="spellStart"/>
      <w:r w:rsidR="001E4EE0">
        <w:rPr>
          <w:lang w:val="hr-HR"/>
        </w:rPr>
        <w:t>sudiju</w:t>
      </w:r>
      <w:proofErr w:type="spellEnd"/>
      <w:r w:rsidR="001E4EE0">
        <w:rPr>
          <w:lang w:val="hr-HR"/>
        </w:rPr>
        <w:t xml:space="preserve">/tužioca - </w:t>
      </w:r>
      <w:r w:rsidR="001E4EE0" w:rsidRPr="001E4EE0">
        <w:rPr>
          <w:lang w:val="hr-HR"/>
        </w:rPr>
        <w:t xml:space="preserve">da </w:t>
      </w:r>
      <w:r w:rsidR="001E4EE0">
        <w:rPr>
          <w:lang w:val="hr-HR"/>
        </w:rPr>
        <w:t>„</w:t>
      </w:r>
      <w:r w:rsidR="001E4EE0" w:rsidRPr="0095354B">
        <w:rPr>
          <w:i/>
          <w:iCs/>
          <w:lang w:val="hr-HR"/>
        </w:rPr>
        <w:t xml:space="preserve">pruži dokaze kojim će osporiti informacije koje </w:t>
      </w:r>
      <w:proofErr w:type="spellStart"/>
      <w:r w:rsidR="001E4EE0" w:rsidRPr="0095354B">
        <w:rPr>
          <w:i/>
          <w:iCs/>
          <w:lang w:val="hr-HR"/>
        </w:rPr>
        <w:t>proizilaze</w:t>
      </w:r>
      <w:proofErr w:type="spellEnd"/>
      <w:r w:rsidR="001E4EE0" w:rsidRPr="0095354B">
        <w:rPr>
          <w:i/>
          <w:iCs/>
          <w:lang w:val="hr-HR"/>
        </w:rPr>
        <w:t xml:space="preserve"> iz provjere i osporiti postojanje nepravilnosti</w:t>
      </w:r>
      <w:r w:rsidR="001E4EE0">
        <w:rPr>
          <w:lang w:val="hr-HR"/>
        </w:rPr>
        <w:t>“.</w:t>
      </w:r>
      <w:r w:rsidR="0095354B">
        <w:rPr>
          <w:lang w:val="hr-HR"/>
        </w:rPr>
        <w:t xml:space="preserve"> </w:t>
      </w:r>
      <w:r w:rsidR="007D2813">
        <w:rPr>
          <w:lang w:val="hr-HR"/>
        </w:rPr>
        <w:t>Prebacivanje tereta dokazivanja, koji ina</w:t>
      </w:r>
      <w:r w:rsidR="0040324D">
        <w:rPr>
          <w:lang w:val="hr-HR"/>
        </w:rPr>
        <w:t>č</w:t>
      </w:r>
      <w:r w:rsidR="007D2813">
        <w:rPr>
          <w:lang w:val="hr-HR"/>
        </w:rPr>
        <w:t xml:space="preserve">e leži na </w:t>
      </w:r>
      <w:r w:rsidR="0040324D">
        <w:rPr>
          <w:lang w:val="hr-HR"/>
        </w:rPr>
        <w:t>UDT-u</w:t>
      </w:r>
      <w:r w:rsidR="007D2813">
        <w:rPr>
          <w:lang w:val="hr-HR"/>
        </w:rPr>
        <w:t xml:space="preserve">, odnosi </w:t>
      </w:r>
      <w:r w:rsidR="00C45334">
        <w:rPr>
          <w:lang w:val="hr-HR"/>
        </w:rPr>
        <w:t xml:space="preserve">se </w:t>
      </w:r>
      <w:r w:rsidR="007D2813">
        <w:rPr>
          <w:lang w:val="hr-HR"/>
        </w:rPr>
        <w:t>„</w:t>
      </w:r>
      <w:r w:rsidR="007D2813" w:rsidRPr="0095354B">
        <w:rPr>
          <w:i/>
          <w:iCs/>
          <w:lang w:val="hr-HR"/>
        </w:rPr>
        <w:t>isključivo na disciplinske postupke koji su rezultat provjere izvještaja i ne može se koristiti ni u jednom drugom postupku</w:t>
      </w:r>
      <w:r w:rsidR="007D2813">
        <w:rPr>
          <w:lang w:val="hr-HR"/>
        </w:rPr>
        <w:t>“</w:t>
      </w:r>
      <w:r w:rsidR="00914BA7">
        <w:rPr>
          <w:rStyle w:val="Funotenzeichen"/>
          <w:lang w:val="hr-HR"/>
        </w:rPr>
        <w:footnoteReference w:id="28"/>
      </w:r>
      <w:r w:rsidR="007D2813">
        <w:rPr>
          <w:lang w:val="hr-HR"/>
        </w:rPr>
        <w:t>.</w:t>
      </w:r>
    </w:p>
    <w:p w14:paraId="4C6EA118" w14:textId="582D61C0" w:rsidR="0062444E" w:rsidRDefault="0062444E" w:rsidP="006501BB">
      <w:pPr>
        <w:spacing w:after="120"/>
        <w:ind w:right="-7"/>
        <w:jc w:val="both"/>
        <w:rPr>
          <w:lang w:val="hr-HR"/>
        </w:rPr>
      </w:pPr>
      <w:r>
        <w:rPr>
          <w:lang w:val="hr-HR"/>
        </w:rPr>
        <w:t xml:space="preserve">Predstavnički dom Parlamentarne skupštine BiH usvojio je zakon na sjednici održanoj </w:t>
      </w:r>
      <w:r w:rsidR="00995796">
        <w:rPr>
          <w:lang w:val="hr-HR"/>
        </w:rPr>
        <w:t>0</w:t>
      </w:r>
      <w:r>
        <w:rPr>
          <w:lang w:val="hr-HR"/>
        </w:rPr>
        <w:t>9.</w:t>
      </w:r>
      <w:r w:rsidR="00995796">
        <w:rPr>
          <w:lang w:val="hr-HR"/>
        </w:rPr>
        <w:t xml:space="preserve"> 0</w:t>
      </w:r>
      <w:r>
        <w:rPr>
          <w:lang w:val="hr-HR"/>
        </w:rPr>
        <w:t>3.</w:t>
      </w:r>
      <w:r w:rsidR="00995796">
        <w:rPr>
          <w:lang w:val="hr-HR"/>
        </w:rPr>
        <w:t xml:space="preserve"> </w:t>
      </w:r>
      <w:r>
        <w:rPr>
          <w:lang w:val="hr-HR"/>
        </w:rPr>
        <w:t xml:space="preserve">2022. godine.  U prvom čitanju na sjednici Doma naroda prijedlog zakona nije dobio entitetsku većinu. Stoga je vraćen na razmatranje članovima Kolegija Doma, koji nisu postigli </w:t>
      </w:r>
      <w:proofErr w:type="spellStart"/>
      <w:r>
        <w:rPr>
          <w:lang w:val="hr-HR"/>
        </w:rPr>
        <w:t>saglasnost</w:t>
      </w:r>
      <w:proofErr w:type="spellEnd"/>
      <w:r>
        <w:rPr>
          <w:lang w:val="hr-HR"/>
        </w:rPr>
        <w:t xml:space="preserve"> o </w:t>
      </w:r>
      <w:proofErr w:type="spellStart"/>
      <w:r>
        <w:rPr>
          <w:lang w:val="hr-HR"/>
        </w:rPr>
        <w:t>prjedlogu</w:t>
      </w:r>
      <w:proofErr w:type="spellEnd"/>
      <w:r>
        <w:rPr>
          <w:lang w:val="hr-HR"/>
        </w:rPr>
        <w:t xml:space="preserve">. Imajući u vidu dosadašnje odluke Doma naroda i njegovih tijela, opravdan je </w:t>
      </w:r>
      <w:r w:rsidR="00995796">
        <w:rPr>
          <w:lang w:val="hr-HR"/>
        </w:rPr>
        <w:t>posumnjati u</w:t>
      </w:r>
      <w:r>
        <w:rPr>
          <w:lang w:val="hr-HR"/>
        </w:rPr>
        <w:t xml:space="preserve"> </w:t>
      </w:r>
      <w:r w:rsidR="00995796">
        <w:rPr>
          <w:lang w:val="hr-HR"/>
        </w:rPr>
        <w:t>mogućnost</w:t>
      </w:r>
      <w:r>
        <w:rPr>
          <w:lang w:val="hr-HR"/>
        </w:rPr>
        <w:t xml:space="preserve"> njegovog </w:t>
      </w:r>
      <w:r w:rsidR="001E4EE0">
        <w:rPr>
          <w:lang w:val="hr-HR"/>
        </w:rPr>
        <w:t>usvajanja.</w:t>
      </w:r>
    </w:p>
    <w:p w14:paraId="4B27030A" w14:textId="77777777" w:rsidR="000151D9" w:rsidRDefault="000151D9" w:rsidP="006501BB">
      <w:pPr>
        <w:spacing w:after="120"/>
        <w:ind w:right="-7"/>
        <w:jc w:val="both"/>
        <w:rPr>
          <w:lang w:val="hr-HR"/>
        </w:rPr>
      </w:pPr>
    </w:p>
    <w:p w14:paraId="1C77C2BA" w14:textId="600BD83E" w:rsidR="00757DAF" w:rsidRPr="00995796" w:rsidRDefault="00DF613C" w:rsidP="006B529A">
      <w:pPr>
        <w:spacing w:after="120"/>
        <w:ind w:right="-7"/>
        <w:jc w:val="both"/>
        <w:rPr>
          <w:b/>
          <w:bCs/>
          <w:lang w:val="hr-HR"/>
        </w:rPr>
      </w:pPr>
      <w:r>
        <w:rPr>
          <w:b/>
          <w:bCs/>
          <w:lang w:val="hr-HR"/>
        </w:rPr>
        <w:t xml:space="preserve">4. </w:t>
      </w:r>
      <w:bookmarkStart w:id="8" w:name="_Hlk103532250"/>
      <w:r w:rsidR="0095354B" w:rsidRPr="004976D6">
        <w:rPr>
          <w:b/>
          <w:bCs/>
          <w:lang w:val="hr-HR"/>
        </w:rPr>
        <w:t>Sigurnosne provjere u BiH</w:t>
      </w:r>
      <w:bookmarkEnd w:id="8"/>
    </w:p>
    <w:p w14:paraId="3976161D" w14:textId="77777777" w:rsidR="00DF613C" w:rsidRDefault="0095354B" w:rsidP="006B529A">
      <w:pPr>
        <w:spacing w:after="120"/>
        <w:ind w:right="-7"/>
        <w:jc w:val="both"/>
        <w:rPr>
          <w:lang w:val="hr-HR"/>
        </w:rPr>
      </w:pPr>
      <w:r>
        <w:rPr>
          <w:lang w:val="hr-HR"/>
        </w:rPr>
        <w:t xml:space="preserve">Svojevrsna provjera integriteta drugih zaposlenih u državnim institucijama propisana je </w:t>
      </w:r>
      <w:r w:rsidR="004976D6">
        <w:rPr>
          <w:lang w:val="hr-HR"/>
        </w:rPr>
        <w:t>Z</w:t>
      </w:r>
      <w:r>
        <w:rPr>
          <w:lang w:val="hr-HR"/>
        </w:rPr>
        <w:t xml:space="preserve">akonom o zaštiti </w:t>
      </w:r>
      <w:r w:rsidR="004976D6">
        <w:rPr>
          <w:lang w:val="hr-HR"/>
        </w:rPr>
        <w:t>tajnih podataka</w:t>
      </w:r>
      <w:r w:rsidR="004976D6">
        <w:rPr>
          <w:rStyle w:val="Funotenzeichen"/>
          <w:lang w:val="hr-HR"/>
        </w:rPr>
        <w:footnoteReference w:id="29"/>
      </w:r>
      <w:r w:rsidR="004976D6">
        <w:rPr>
          <w:lang w:val="hr-HR"/>
        </w:rPr>
        <w:t xml:space="preserve">. </w:t>
      </w:r>
    </w:p>
    <w:p w14:paraId="023B2763" w14:textId="77777777" w:rsidR="0095354B" w:rsidRDefault="006B529A" w:rsidP="00995796">
      <w:pPr>
        <w:spacing w:after="120"/>
        <w:ind w:left="720" w:right="-7"/>
        <w:jc w:val="both"/>
        <w:rPr>
          <w:lang w:val="hr-HR"/>
        </w:rPr>
      </w:pPr>
      <w:r>
        <w:rPr>
          <w:lang w:val="hr-HR"/>
        </w:rPr>
        <w:t>Čl. 30 ovog zakona propisano je da „</w:t>
      </w:r>
      <w:r w:rsidRPr="006B529A">
        <w:rPr>
          <w:i/>
          <w:iCs/>
          <w:lang w:val="hr-HR"/>
        </w:rPr>
        <w:t>Lica koja rade ili se prijavljuju za rad na radno mjesto na kojem se proizvode tajni podaci, u organu koji se bavi obavještajnim ili pitanjima iz oblasti odbrane i sigurnosti, bit će predmet osnovnog sigurnosnog provjeravanja u skladu s postupkom za izdavanje dozvole za pristup tajnim podacima stepena povjerljivo</w:t>
      </w:r>
      <w:r>
        <w:rPr>
          <w:lang w:val="hr-HR"/>
        </w:rPr>
        <w:t xml:space="preserve">. </w:t>
      </w:r>
      <w:r w:rsidRPr="006B529A">
        <w:rPr>
          <w:i/>
          <w:iCs/>
          <w:lang w:val="hr-HR"/>
        </w:rPr>
        <w:t>Listu organa na koje se odnosi stav (1) ovog člana utvrđuje Vijeće ministara BiH.</w:t>
      </w:r>
      <w:r>
        <w:rPr>
          <w:lang w:val="hr-HR"/>
        </w:rPr>
        <w:t>“</w:t>
      </w:r>
    </w:p>
    <w:p w14:paraId="0FA2C560" w14:textId="2FF06CEC" w:rsidR="006B529A" w:rsidRDefault="006B529A" w:rsidP="002245EC">
      <w:pPr>
        <w:spacing w:after="120"/>
        <w:ind w:right="-7"/>
        <w:jc w:val="both"/>
        <w:rPr>
          <w:lang w:val="hr-HR"/>
        </w:rPr>
      </w:pPr>
      <w:r w:rsidRPr="00CA5B5D">
        <w:rPr>
          <w:lang w:val="hr-HR"/>
        </w:rPr>
        <w:t>Donesenom listom</w:t>
      </w:r>
      <w:r w:rsidR="00CA5B5D" w:rsidRPr="00CA5B5D">
        <w:rPr>
          <w:rStyle w:val="Funotenzeichen"/>
          <w:lang w:val="hr-HR"/>
        </w:rPr>
        <w:footnoteReference w:id="30"/>
      </w:r>
      <w:r w:rsidRPr="00CA5B5D">
        <w:rPr>
          <w:lang w:val="hr-HR"/>
        </w:rPr>
        <w:t xml:space="preserve"> obuhvaćene su praktično sve državne institucije, uključujući i sudove i tužilaštva svih nivoa</w:t>
      </w:r>
      <w:r>
        <w:rPr>
          <w:lang w:val="hr-HR"/>
        </w:rPr>
        <w:t>. Proširene sigurnosne provjere i</w:t>
      </w:r>
      <w:r w:rsidR="00B70B18" w:rsidRPr="00B70B18">
        <w:rPr>
          <w:lang w:val="hr-HR"/>
        </w:rPr>
        <w:t xml:space="preserve"> proširene sigurnosne provjere sa sigurnosnim istraživanjem</w:t>
      </w:r>
      <w:r w:rsidR="00B70B18">
        <w:rPr>
          <w:lang w:val="hr-HR"/>
        </w:rPr>
        <w:t xml:space="preserve"> predviđene su za osobe koje mogu pristupiti podacima označenim </w:t>
      </w:r>
      <w:proofErr w:type="spellStart"/>
      <w:r w:rsidR="00B70B18">
        <w:rPr>
          <w:lang w:val="hr-HR"/>
        </w:rPr>
        <w:t>stepenom</w:t>
      </w:r>
      <w:proofErr w:type="spellEnd"/>
      <w:r w:rsidR="00B70B18">
        <w:rPr>
          <w:lang w:val="hr-HR"/>
        </w:rPr>
        <w:t xml:space="preserve"> tajnosti tajno i vrlo tajno</w:t>
      </w:r>
      <w:r w:rsidR="002245EC">
        <w:rPr>
          <w:rStyle w:val="Funotenzeichen"/>
          <w:lang w:val="hr-HR"/>
        </w:rPr>
        <w:footnoteReference w:id="31"/>
      </w:r>
      <w:r w:rsidR="00B70B18">
        <w:rPr>
          <w:lang w:val="hr-HR"/>
        </w:rPr>
        <w:t>.</w:t>
      </w:r>
      <w:r w:rsidR="002A7E14">
        <w:rPr>
          <w:lang w:val="hr-HR"/>
        </w:rPr>
        <w:t xml:space="preserve"> </w:t>
      </w:r>
      <w:r w:rsidR="00CB1F3D">
        <w:rPr>
          <w:lang w:val="hr-HR"/>
        </w:rPr>
        <w:t>Osnovni sigurnosni upitnik, koji je zaposleni dužan da popuni, sadrž</w:t>
      </w:r>
      <w:r w:rsidR="000D3404">
        <w:rPr>
          <w:lang w:val="hr-HR"/>
        </w:rPr>
        <w:t>i</w:t>
      </w:r>
      <w:r w:rsidR="00757DAF">
        <w:rPr>
          <w:lang w:val="hr-HR"/>
        </w:rPr>
        <w:t xml:space="preserve">, </w:t>
      </w:r>
      <w:r w:rsidR="002A7E14" w:rsidRPr="002A7E14">
        <w:rPr>
          <w:lang w:val="hr-HR"/>
        </w:rPr>
        <w:t>i</w:t>
      </w:r>
      <w:r w:rsidR="002A7E14">
        <w:rPr>
          <w:lang w:val="hr-HR"/>
        </w:rPr>
        <w:t>z</w:t>
      </w:r>
      <w:r w:rsidR="002A7E14" w:rsidRPr="002A7E14">
        <w:rPr>
          <w:lang w:val="hr-HR"/>
        </w:rPr>
        <w:t>među ostalog</w:t>
      </w:r>
      <w:r w:rsidR="00757DAF">
        <w:rPr>
          <w:lang w:val="hr-HR"/>
        </w:rPr>
        <w:t>, i</w:t>
      </w:r>
      <w:r w:rsidR="00CB1F3D">
        <w:rPr>
          <w:lang w:val="hr-HR"/>
        </w:rPr>
        <w:t xml:space="preserve"> podatke o identitetu, obrazovanju, prethodnom radnom iskustvu, krivičnim osudama i sudskim postupcima koji su u toku, i imovinskom stanju provjeravane osobe. Dodatnim upitnicima obuhvaćene su</w:t>
      </w:r>
      <w:r>
        <w:rPr>
          <w:lang w:val="hr-HR"/>
        </w:rPr>
        <w:t xml:space="preserve"> </w:t>
      </w:r>
      <w:proofErr w:type="spellStart"/>
      <w:r w:rsidR="00CB1F3D" w:rsidRPr="00CB1F3D">
        <w:rPr>
          <w:lang w:val="hr-HR"/>
        </w:rPr>
        <w:t>finansijske</w:t>
      </w:r>
      <w:proofErr w:type="spellEnd"/>
      <w:r w:rsidR="00CB1F3D" w:rsidRPr="00CB1F3D">
        <w:rPr>
          <w:lang w:val="hr-HR"/>
        </w:rPr>
        <w:t xml:space="preserve"> </w:t>
      </w:r>
      <w:r w:rsidR="00CB1F3D" w:rsidRPr="00CB1F3D">
        <w:rPr>
          <w:lang w:val="hr-HR"/>
        </w:rPr>
        <w:lastRenderedPageBreak/>
        <w:t>obaveze i preuzete garancije</w:t>
      </w:r>
      <w:r w:rsidR="00CB1F3D">
        <w:rPr>
          <w:lang w:val="hr-HR"/>
        </w:rPr>
        <w:t xml:space="preserve">, kao i </w:t>
      </w:r>
      <w:r w:rsidR="002245EC" w:rsidRPr="002245EC">
        <w:rPr>
          <w:lang w:val="hr-HR"/>
        </w:rPr>
        <w:t>osobine, sklonosti i okolnosti iz života koje mogu biti motiv za ucjenjivanje ili druge oblike</w:t>
      </w:r>
      <w:r w:rsidR="002245EC">
        <w:rPr>
          <w:lang w:val="hr-HR"/>
        </w:rPr>
        <w:t xml:space="preserve"> </w:t>
      </w:r>
      <w:r w:rsidR="002245EC" w:rsidRPr="002245EC">
        <w:rPr>
          <w:lang w:val="hr-HR"/>
        </w:rPr>
        <w:t>pritisaka na provjeravanu osobu</w:t>
      </w:r>
      <w:r w:rsidR="002245EC">
        <w:rPr>
          <w:rStyle w:val="Funotenzeichen"/>
          <w:lang w:val="hr-HR"/>
        </w:rPr>
        <w:footnoteReference w:id="32"/>
      </w:r>
      <w:r w:rsidR="002245EC">
        <w:rPr>
          <w:lang w:val="hr-HR"/>
        </w:rPr>
        <w:t>.</w:t>
      </w:r>
    </w:p>
    <w:p w14:paraId="727AAC25" w14:textId="77777777" w:rsidR="00AD0529" w:rsidRDefault="00AD0529" w:rsidP="002245EC">
      <w:pPr>
        <w:spacing w:after="120"/>
        <w:ind w:right="-7"/>
        <w:jc w:val="both"/>
        <w:rPr>
          <w:lang w:val="hr-HR"/>
        </w:rPr>
      </w:pPr>
      <w:r>
        <w:rPr>
          <w:lang w:val="hr-HR"/>
        </w:rPr>
        <w:t xml:space="preserve">Čl. 59. Zakona </w:t>
      </w:r>
      <w:r w:rsidR="000F16CD">
        <w:rPr>
          <w:lang w:val="hr-HR"/>
        </w:rPr>
        <w:t xml:space="preserve">o zaštiti tajnih podataka </w:t>
      </w:r>
      <w:r>
        <w:rPr>
          <w:lang w:val="hr-HR"/>
        </w:rPr>
        <w:t xml:space="preserve">propisane su sigurnosne smetnje </w:t>
      </w:r>
      <w:r w:rsidRPr="00AD0529">
        <w:rPr>
          <w:lang w:val="hr-HR"/>
        </w:rPr>
        <w:t>zbog kojih se odbija izdavanje dozvole za pristup tajnim podacima</w:t>
      </w:r>
      <w:r>
        <w:rPr>
          <w:lang w:val="hr-HR"/>
        </w:rPr>
        <w:t>, među kojima treba izdvojiti:</w:t>
      </w:r>
    </w:p>
    <w:p w14:paraId="672AF117" w14:textId="77777777" w:rsidR="00AD0529" w:rsidRDefault="00AD0529" w:rsidP="00EE1892">
      <w:pPr>
        <w:numPr>
          <w:ilvl w:val="0"/>
          <w:numId w:val="35"/>
        </w:numPr>
        <w:spacing w:after="120"/>
        <w:ind w:right="-7"/>
        <w:jc w:val="both"/>
        <w:rPr>
          <w:lang w:val="hr-HR"/>
        </w:rPr>
      </w:pPr>
      <w:r w:rsidRPr="00AD0529">
        <w:rPr>
          <w:lang w:val="hr-HR"/>
        </w:rPr>
        <w:t>dokazano lažno navođenje podataka u upitniku za provjeru</w:t>
      </w:r>
    </w:p>
    <w:p w14:paraId="756FDDB0" w14:textId="77777777" w:rsidR="00AD0529" w:rsidRDefault="00AD0529" w:rsidP="00EE1892">
      <w:pPr>
        <w:numPr>
          <w:ilvl w:val="0"/>
          <w:numId w:val="35"/>
        </w:numPr>
        <w:spacing w:after="120"/>
        <w:ind w:right="-7"/>
        <w:jc w:val="both"/>
        <w:rPr>
          <w:lang w:val="hr-HR"/>
        </w:rPr>
      </w:pPr>
      <w:r w:rsidRPr="00AD0529">
        <w:rPr>
          <w:lang w:val="hr-HR"/>
        </w:rPr>
        <w:t>pravosnažne sudske presude od najmanje tri mjeseca zatvorske kazne</w:t>
      </w:r>
    </w:p>
    <w:p w14:paraId="5F989D13" w14:textId="77777777" w:rsidR="00AD0529" w:rsidRDefault="00AD0529" w:rsidP="00EE1892">
      <w:pPr>
        <w:numPr>
          <w:ilvl w:val="0"/>
          <w:numId w:val="35"/>
        </w:numPr>
        <w:spacing w:after="120"/>
        <w:ind w:right="-7"/>
        <w:jc w:val="both"/>
        <w:rPr>
          <w:lang w:val="hr-HR"/>
        </w:rPr>
      </w:pPr>
      <w:r w:rsidRPr="00AD0529">
        <w:rPr>
          <w:lang w:val="hr-HR"/>
        </w:rPr>
        <w:t>vođenje postupka zbog krivičnih djela za koje se mogu izreći zatvorske kazne u trajanju od</w:t>
      </w:r>
      <w:r>
        <w:rPr>
          <w:lang w:val="hr-HR"/>
        </w:rPr>
        <w:t xml:space="preserve"> </w:t>
      </w:r>
      <w:r w:rsidRPr="00AD0529">
        <w:rPr>
          <w:lang w:val="hr-HR"/>
        </w:rPr>
        <w:t>najmanje tri mjeseca</w:t>
      </w:r>
    </w:p>
    <w:p w14:paraId="7CCED0B8" w14:textId="77777777" w:rsidR="00AD0529" w:rsidRDefault="00131AA0" w:rsidP="00EE1892">
      <w:pPr>
        <w:numPr>
          <w:ilvl w:val="0"/>
          <w:numId w:val="35"/>
        </w:numPr>
        <w:spacing w:after="120"/>
        <w:ind w:right="-7"/>
        <w:jc w:val="both"/>
        <w:rPr>
          <w:lang w:val="hr-HR"/>
        </w:rPr>
      </w:pPr>
      <w:r w:rsidRPr="00131AA0">
        <w:rPr>
          <w:lang w:val="hr-HR"/>
        </w:rPr>
        <w:t>neovlašten kontakt s pripadnicima organiziranih kriminalnih grupa, terorističkim</w:t>
      </w:r>
      <w:r>
        <w:rPr>
          <w:lang w:val="hr-HR"/>
        </w:rPr>
        <w:t xml:space="preserve"> </w:t>
      </w:r>
      <w:r w:rsidRPr="00131AA0">
        <w:rPr>
          <w:lang w:val="hr-HR"/>
        </w:rPr>
        <w:t xml:space="preserve">organizacijama i organizacijama koje ih </w:t>
      </w:r>
      <w:proofErr w:type="spellStart"/>
      <w:r w:rsidRPr="00131AA0">
        <w:rPr>
          <w:lang w:val="hr-HR"/>
        </w:rPr>
        <w:t>finansijski</w:t>
      </w:r>
      <w:proofErr w:type="spellEnd"/>
      <w:r w:rsidRPr="00131AA0">
        <w:rPr>
          <w:lang w:val="hr-HR"/>
        </w:rPr>
        <w:t xml:space="preserve"> ili na drugi način podržavaju, odnosno</w:t>
      </w:r>
      <w:r>
        <w:rPr>
          <w:lang w:val="hr-HR"/>
        </w:rPr>
        <w:t xml:space="preserve"> </w:t>
      </w:r>
      <w:r w:rsidRPr="00131AA0">
        <w:rPr>
          <w:lang w:val="hr-HR"/>
        </w:rPr>
        <w:t>članstvo u njima</w:t>
      </w:r>
    </w:p>
    <w:p w14:paraId="252A157C" w14:textId="77777777" w:rsidR="00757DAF" w:rsidRPr="00757DAF" w:rsidRDefault="00757DAF" w:rsidP="009435C9">
      <w:pPr>
        <w:numPr>
          <w:ilvl w:val="0"/>
          <w:numId w:val="35"/>
        </w:numPr>
        <w:spacing w:after="120"/>
        <w:ind w:right="-7"/>
        <w:jc w:val="both"/>
        <w:rPr>
          <w:lang w:val="hr-HR"/>
        </w:rPr>
      </w:pPr>
      <w:r w:rsidRPr="00757DAF">
        <w:rPr>
          <w:lang w:val="hr-HR"/>
        </w:rPr>
        <w:t>neovlašteni kontakt ili saradnja s osobama iz obavještajno-sigurnosnih ili vojnih struktura drugih država</w:t>
      </w:r>
    </w:p>
    <w:p w14:paraId="5A870C96" w14:textId="77777777" w:rsidR="00131AA0" w:rsidRDefault="00131AA0" w:rsidP="00EE1892">
      <w:pPr>
        <w:numPr>
          <w:ilvl w:val="0"/>
          <w:numId w:val="35"/>
        </w:numPr>
        <w:spacing w:after="120"/>
        <w:ind w:right="-7"/>
        <w:jc w:val="both"/>
        <w:rPr>
          <w:lang w:val="hr-HR"/>
        </w:rPr>
      </w:pPr>
      <w:r w:rsidRPr="00131AA0">
        <w:rPr>
          <w:lang w:val="hr-HR"/>
        </w:rPr>
        <w:t>iznošenje ili komentiranje tajnih informacija, dokumenata i aktivnosti neovlaštenim</w:t>
      </w:r>
      <w:r>
        <w:rPr>
          <w:lang w:val="hr-HR"/>
        </w:rPr>
        <w:t xml:space="preserve"> </w:t>
      </w:r>
      <w:r w:rsidRPr="00131AA0">
        <w:rPr>
          <w:lang w:val="hr-HR"/>
        </w:rPr>
        <w:t>osobama, a naročito obavještajno-sigurnosnim službama drugih država ili sredstvima javnog</w:t>
      </w:r>
      <w:r>
        <w:rPr>
          <w:lang w:val="hr-HR"/>
        </w:rPr>
        <w:t xml:space="preserve"> </w:t>
      </w:r>
      <w:proofErr w:type="spellStart"/>
      <w:r w:rsidRPr="00131AA0">
        <w:rPr>
          <w:lang w:val="hr-HR"/>
        </w:rPr>
        <w:t>informi</w:t>
      </w:r>
      <w:r>
        <w:rPr>
          <w:lang w:val="hr-HR"/>
        </w:rPr>
        <w:t>s</w:t>
      </w:r>
      <w:r w:rsidRPr="00131AA0">
        <w:rPr>
          <w:lang w:val="hr-HR"/>
        </w:rPr>
        <w:t>anja</w:t>
      </w:r>
      <w:proofErr w:type="spellEnd"/>
    </w:p>
    <w:p w14:paraId="09FACED5" w14:textId="77777777" w:rsidR="00131AA0" w:rsidRDefault="00131AA0" w:rsidP="00EE1892">
      <w:pPr>
        <w:numPr>
          <w:ilvl w:val="0"/>
          <w:numId w:val="35"/>
        </w:numPr>
        <w:spacing w:after="120"/>
        <w:ind w:right="-7"/>
        <w:jc w:val="both"/>
        <w:rPr>
          <w:lang w:val="hr-HR"/>
        </w:rPr>
      </w:pPr>
      <w:r w:rsidRPr="00131AA0">
        <w:rPr>
          <w:lang w:val="hr-HR"/>
        </w:rPr>
        <w:t xml:space="preserve">prekomjerna zaduženost koja dovodi do </w:t>
      </w:r>
      <w:proofErr w:type="spellStart"/>
      <w:r w:rsidRPr="00131AA0">
        <w:rPr>
          <w:lang w:val="hr-HR"/>
        </w:rPr>
        <w:t>finansijskih</w:t>
      </w:r>
      <w:proofErr w:type="spellEnd"/>
      <w:r w:rsidRPr="00131AA0">
        <w:rPr>
          <w:lang w:val="hr-HR"/>
        </w:rPr>
        <w:t xml:space="preserve"> teškoća i predstavlja dokazanu</w:t>
      </w:r>
      <w:r>
        <w:rPr>
          <w:lang w:val="hr-HR"/>
        </w:rPr>
        <w:t xml:space="preserve"> </w:t>
      </w:r>
      <w:r w:rsidRPr="00131AA0">
        <w:rPr>
          <w:lang w:val="hr-HR"/>
        </w:rPr>
        <w:t>mogućnost za ucjenu ili druge oblike pritisaka na provjeravanu osobu</w:t>
      </w:r>
    </w:p>
    <w:p w14:paraId="75DD69EA" w14:textId="77777777" w:rsidR="00131AA0" w:rsidRDefault="009D2F8D" w:rsidP="00EE1892">
      <w:pPr>
        <w:numPr>
          <w:ilvl w:val="0"/>
          <w:numId w:val="35"/>
        </w:numPr>
        <w:spacing w:after="120"/>
        <w:ind w:right="-7"/>
        <w:jc w:val="both"/>
        <w:rPr>
          <w:lang w:val="hr-HR"/>
        </w:rPr>
      </w:pPr>
      <w:r w:rsidRPr="009D2F8D">
        <w:rPr>
          <w:lang w:val="hr-HR"/>
        </w:rPr>
        <w:t>dokazano neobjašnjivo bogaćenje iz nepoznatog ili izvora koji je povezan s</w:t>
      </w:r>
      <w:r w:rsidR="00EE1892" w:rsidRPr="00EE1892">
        <w:rPr>
          <w:lang w:val="hr-HR"/>
        </w:rPr>
        <w:t xml:space="preserve"> pripadnicima organiziranih kriminalnih grupa, terorističkim</w:t>
      </w:r>
      <w:r w:rsidR="00EE1892">
        <w:rPr>
          <w:lang w:val="hr-HR"/>
        </w:rPr>
        <w:t xml:space="preserve"> </w:t>
      </w:r>
      <w:r w:rsidR="00EE1892" w:rsidRPr="00EE1892">
        <w:rPr>
          <w:lang w:val="hr-HR"/>
        </w:rPr>
        <w:t xml:space="preserve">organizacijama i organizacijama koje ih </w:t>
      </w:r>
      <w:proofErr w:type="spellStart"/>
      <w:r w:rsidR="00EE1892" w:rsidRPr="00EE1892">
        <w:rPr>
          <w:lang w:val="hr-HR"/>
        </w:rPr>
        <w:t>finansijski</w:t>
      </w:r>
      <w:proofErr w:type="spellEnd"/>
      <w:r w:rsidR="00EE1892" w:rsidRPr="00EE1892">
        <w:rPr>
          <w:lang w:val="hr-HR"/>
        </w:rPr>
        <w:t xml:space="preserve"> ili na drugi način podržavaju</w:t>
      </w:r>
      <w:r w:rsidR="00EE1892">
        <w:rPr>
          <w:lang w:val="hr-HR"/>
        </w:rPr>
        <w:t xml:space="preserve">, odnosno s </w:t>
      </w:r>
      <w:proofErr w:type="spellStart"/>
      <w:r w:rsidR="00EE1892" w:rsidRPr="00EE1892">
        <w:rPr>
          <w:lang w:val="hr-HR"/>
        </w:rPr>
        <w:t>s</w:t>
      </w:r>
      <w:proofErr w:type="spellEnd"/>
      <w:r w:rsidR="00EE1892" w:rsidRPr="00EE1892">
        <w:rPr>
          <w:lang w:val="hr-HR"/>
        </w:rPr>
        <w:t xml:space="preserve"> osobama iz obavještajno-sigurnosnih ili vojnih struktura</w:t>
      </w:r>
      <w:r w:rsidR="00EE1892">
        <w:rPr>
          <w:lang w:val="hr-HR"/>
        </w:rPr>
        <w:t xml:space="preserve"> </w:t>
      </w:r>
      <w:r w:rsidR="00EE1892" w:rsidRPr="00EE1892">
        <w:rPr>
          <w:lang w:val="hr-HR"/>
        </w:rPr>
        <w:t>drugih država</w:t>
      </w:r>
    </w:p>
    <w:p w14:paraId="4A351A1D" w14:textId="77777777" w:rsidR="00EF204F" w:rsidRPr="00EF204F" w:rsidRDefault="00EF204F" w:rsidP="009435C9">
      <w:pPr>
        <w:numPr>
          <w:ilvl w:val="0"/>
          <w:numId w:val="35"/>
        </w:numPr>
        <w:spacing w:after="120"/>
        <w:ind w:right="-7"/>
        <w:jc w:val="both"/>
        <w:rPr>
          <w:lang w:val="hr-HR"/>
        </w:rPr>
      </w:pPr>
      <w:r w:rsidRPr="00EF204F">
        <w:rPr>
          <w:lang w:val="hr-HR"/>
        </w:rPr>
        <w:t>odbijanje pružanja odgovora ili informacija ili dokazano sprečavanje drugih da pruže odgovore ili informacije</w:t>
      </w:r>
    </w:p>
    <w:p w14:paraId="723797C9" w14:textId="77777777" w:rsidR="00EE1892" w:rsidRDefault="000251BE" w:rsidP="008D094C">
      <w:pPr>
        <w:spacing w:after="120"/>
        <w:ind w:right="-7"/>
        <w:jc w:val="both"/>
        <w:rPr>
          <w:lang w:val="hr-HR"/>
        </w:rPr>
      </w:pPr>
      <w:r>
        <w:rPr>
          <w:lang w:val="hr-HR"/>
        </w:rPr>
        <w:t xml:space="preserve">Sigurnosne provjere obavlja </w:t>
      </w:r>
      <w:r w:rsidR="008D094C">
        <w:rPr>
          <w:lang w:val="hr-HR"/>
        </w:rPr>
        <w:t>Obavještajno-sigurnosna agencija BiH</w:t>
      </w:r>
      <w:r w:rsidR="008D094C">
        <w:rPr>
          <w:rStyle w:val="Funotenzeichen"/>
          <w:lang w:val="hr-HR"/>
        </w:rPr>
        <w:footnoteReference w:id="33"/>
      </w:r>
      <w:r w:rsidR="008D094C">
        <w:rPr>
          <w:lang w:val="hr-HR"/>
        </w:rPr>
        <w:t xml:space="preserve">(OSA), a izuzetno za </w:t>
      </w:r>
      <w:r w:rsidR="008D094C" w:rsidRPr="008D094C">
        <w:rPr>
          <w:lang w:val="hr-HR"/>
        </w:rPr>
        <w:t>policijske službenike</w:t>
      </w:r>
      <w:r w:rsidR="008D094C">
        <w:rPr>
          <w:lang w:val="hr-HR"/>
        </w:rPr>
        <w:t xml:space="preserve"> i </w:t>
      </w:r>
      <w:r w:rsidR="008D094C" w:rsidRPr="008D094C">
        <w:rPr>
          <w:lang w:val="hr-HR"/>
        </w:rPr>
        <w:t>državne službenike i zaposlenike u policijskim i drugim sigurnosnim organima u Bosni i</w:t>
      </w:r>
      <w:r w:rsidR="008D094C">
        <w:rPr>
          <w:lang w:val="hr-HR"/>
        </w:rPr>
        <w:t xml:space="preserve"> </w:t>
      </w:r>
      <w:r w:rsidR="008D094C" w:rsidRPr="008D094C">
        <w:rPr>
          <w:lang w:val="hr-HR"/>
        </w:rPr>
        <w:t>Hercegovini</w:t>
      </w:r>
      <w:r w:rsidR="008D094C">
        <w:rPr>
          <w:lang w:val="hr-HR"/>
        </w:rPr>
        <w:t xml:space="preserve"> Državna agencija za istrage i zaštitu (SIPA).</w:t>
      </w:r>
      <w:r w:rsidR="008D094C">
        <w:rPr>
          <w:rStyle w:val="Funotenzeichen"/>
          <w:lang w:val="hr-HR"/>
        </w:rPr>
        <w:footnoteReference w:id="34"/>
      </w:r>
      <w:r w:rsidR="00AF07D3">
        <w:rPr>
          <w:lang w:val="hr-HR"/>
        </w:rPr>
        <w:t xml:space="preserve"> </w:t>
      </w:r>
      <w:r w:rsidR="008D094C">
        <w:rPr>
          <w:lang w:val="hr-HR"/>
        </w:rPr>
        <w:t xml:space="preserve">Još jedan izuzetak napravljen je u pogledu </w:t>
      </w:r>
      <w:r w:rsidR="00192A3C">
        <w:rPr>
          <w:lang w:val="hr-HR"/>
        </w:rPr>
        <w:t xml:space="preserve">vojnih osoba i državnih službenika koje provjerava </w:t>
      </w:r>
      <w:r w:rsidR="00192A3C" w:rsidRPr="00192A3C">
        <w:rPr>
          <w:lang w:val="hr-HR"/>
        </w:rPr>
        <w:t>unutarnja organizaciona jedinica u Ministarstvu odbrane BiH</w:t>
      </w:r>
      <w:r w:rsidR="00192A3C">
        <w:rPr>
          <w:rStyle w:val="Funotenzeichen"/>
          <w:lang w:val="hr-HR"/>
        </w:rPr>
        <w:footnoteReference w:id="35"/>
      </w:r>
      <w:r w:rsidR="00192A3C">
        <w:rPr>
          <w:lang w:val="hr-HR"/>
        </w:rPr>
        <w:t>.</w:t>
      </w:r>
    </w:p>
    <w:p w14:paraId="59C6DE46" w14:textId="77777777" w:rsidR="00192A3C" w:rsidRDefault="00A771BC" w:rsidP="00A771BC">
      <w:pPr>
        <w:spacing w:after="120"/>
        <w:ind w:right="-7"/>
        <w:jc w:val="both"/>
        <w:rPr>
          <w:lang w:val="hr-HR"/>
        </w:rPr>
      </w:pPr>
      <w:r w:rsidRPr="00A771BC">
        <w:rPr>
          <w:lang w:val="hr-HR"/>
        </w:rPr>
        <w:t>Protiv rješenja osoba nadležnih za izdavanje dozvola, kojima je odbijen zahtjev za</w:t>
      </w:r>
      <w:r>
        <w:rPr>
          <w:lang w:val="hr-HR"/>
        </w:rPr>
        <w:t xml:space="preserve"> </w:t>
      </w:r>
      <w:r w:rsidRPr="00A771BC">
        <w:rPr>
          <w:lang w:val="hr-HR"/>
        </w:rPr>
        <w:t>izdavanje dozvole za pristup tajnim podacima, provjeravana osoba može u roku od 15 dana od</w:t>
      </w:r>
      <w:r>
        <w:rPr>
          <w:lang w:val="hr-HR"/>
        </w:rPr>
        <w:t xml:space="preserve"> d</w:t>
      </w:r>
      <w:r w:rsidRPr="00A771BC">
        <w:rPr>
          <w:lang w:val="hr-HR"/>
        </w:rPr>
        <w:t>ana dostavljanja rješenja uložiti žalbu Komisiji koju će imenovati Vijeće ministara BiH.</w:t>
      </w:r>
      <w:r>
        <w:rPr>
          <w:lang w:val="hr-HR"/>
        </w:rPr>
        <w:t xml:space="preserve"> </w:t>
      </w:r>
      <w:r w:rsidRPr="00A771BC">
        <w:rPr>
          <w:lang w:val="hr-HR"/>
        </w:rPr>
        <w:t>Protiv konačne odluke kojom se odbija izdavanje dozvole za pristup tajnim podacima</w:t>
      </w:r>
      <w:r>
        <w:rPr>
          <w:lang w:val="hr-HR"/>
        </w:rPr>
        <w:t xml:space="preserve"> </w:t>
      </w:r>
      <w:r w:rsidRPr="00A771BC">
        <w:rPr>
          <w:lang w:val="hr-HR"/>
        </w:rPr>
        <w:t>može se pokrenuti upravni spor kod Suda BiH u roku od 30 dana</w:t>
      </w:r>
      <w:r>
        <w:rPr>
          <w:rStyle w:val="Funotenzeichen"/>
          <w:lang w:val="hr-HR"/>
        </w:rPr>
        <w:footnoteReference w:id="36"/>
      </w:r>
      <w:r>
        <w:rPr>
          <w:lang w:val="hr-HR"/>
        </w:rPr>
        <w:t>.</w:t>
      </w:r>
    </w:p>
    <w:p w14:paraId="3D49FEC5" w14:textId="77777777" w:rsidR="00EF204F" w:rsidRDefault="00B245DA" w:rsidP="00B245DA">
      <w:pPr>
        <w:spacing w:after="120"/>
        <w:ind w:right="-7"/>
        <w:jc w:val="both"/>
        <w:rPr>
          <w:lang w:val="hr-HR"/>
        </w:rPr>
      </w:pPr>
      <w:r w:rsidRPr="00B245DA">
        <w:rPr>
          <w:lang w:val="hr-HR"/>
        </w:rPr>
        <w:lastRenderedPageBreak/>
        <w:t>Osobe kojima je konačnom odlukom nadležnog organa utvrđena sigurnosna smetnja ili</w:t>
      </w:r>
      <w:r>
        <w:rPr>
          <w:lang w:val="hr-HR"/>
        </w:rPr>
        <w:t xml:space="preserve"> </w:t>
      </w:r>
      <w:r w:rsidRPr="00B245DA">
        <w:rPr>
          <w:lang w:val="hr-HR"/>
        </w:rPr>
        <w:t>koje su podnijele pismeni zahtjev za obustavu sigurnosne provjere ne mogu dalje</w:t>
      </w:r>
      <w:r>
        <w:rPr>
          <w:lang w:val="hr-HR"/>
        </w:rPr>
        <w:t xml:space="preserve"> </w:t>
      </w:r>
      <w:r w:rsidRPr="00B245DA">
        <w:rPr>
          <w:lang w:val="hr-HR"/>
        </w:rPr>
        <w:t>obavljati dužnost, odnosno posao za koji je obavljena ili obustavljena sigurnosna provjera</w:t>
      </w:r>
      <w:r>
        <w:rPr>
          <w:lang w:val="hr-HR"/>
        </w:rPr>
        <w:t xml:space="preserve">. Na njih se </w:t>
      </w:r>
      <w:r w:rsidRPr="00B245DA">
        <w:rPr>
          <w:lang w:val="hr-HR"/>
        </w:rPr>
        <w:t>primjenj</w:t>
      </w:r>
      <w:r>
        <w:rPr>
          <w:lang w:val="hr-HR"/>
        </w:rPr>
        <w:t>uju</w:t>
      </w:r>
      <w:r w:rsidRPr="00B245DA">
        <w:rPr>
          <w:lang w:val="hr-HR"/>
        </w:rPr>
        <w:t xml:space="preserve"> odredbe o prekobrojnosti u zakonima</w:t>
      </w:r>
      <w:r>
        <w:rPr>
          <w:lang w:val="hr-HR"/>
        </w:rPr>
        <w:t xml:space="preserve"> </w:t>
      </w:r>
      <w:r w:rsidRPr="00B245DA">
        <w:rPr>
          <w:lang w:val="hr-HR"/>
        </w:rPr>
        <w:t xml:space="preserve">koji </w:t>
      </w:r>
      <w:proofErr w:type="spellStart"/>
      <w:r w:rsidRPr="00B245DA">
        <w:rPr>
          <w:lang w:val="hr-HR"/>
        </w:rPr>
        <w:t>reguli</w:t>
      </w:r>
      <w:r>
        <w:rPr>
          <w:lang w:val="hr-HR"/>
        </w:rPr>
        <w:t>š</w:t>
      </w:r>
      <w:r w:rsidRPr="00B245DA">
        <w:rPr>
          <w:lang w:val="hr-HR"/>
        </w:rPr>
        <w:t>u</w:t>
      </w:r>
      <w:proofErr w:type="spellEnd"/>
      <w:r w:rsidRPr="00B245DA">
        <w:rPr>
          <w:lang w:val="hr-HR"/>
        </w:rPr>
        <w:t xml:space="preserve"> ovu oblast</w:t>
      </w:r>
      <w:r w:rsidR="00690E92">
        <w:rPr>
          <w:rStyle w:val="Funotenzeichen"/>
          <w:lang w:val="hr-HR"/>
        </w:rPr>
        <w:footnoteReference w:id="37"/>
      </w:r>
      <w:r>
        <w:rPr>
          <w:lang w:val="hr-HR"/>
        </w:rPr>
        <w:t>.</w:t>
      </w:r>
    </w:p>
    <w:p w14:paraId="5ABF8F27" w14:textId="2996D5F8" w:rsidR="00943682" w:rsidRDefault="00C11D9A" w:rsidP="007706A9">
      <w:pPr>
        <w:spacing w:after="120"/>
        <w:ind w:right="-7"/>
        <w:jc w:val="both"/>
        <w:rPr>
          <w:lang w:val="hr-HR"/>
        </w:rPr>
      </w:pPr>
      <w:r>
        <w:rPr>
          <w:lang w:val="hr-HR"/>
        </w:rPr>
        <w:t xml:space="preserve">Čl. 5 Zakona </w:t>
      </w:r>
      <w:r w:rsidR="00757DAF">
        <w:rPr>
          <w:lang w:val="hr-HR"/>
        </w:rPr>
        <w:t xml:space="preserve">o zaštiti tajnih podataka </w:t>
      </w:r>
      <w:r w:rsidR="007706A9">
        <w:rPr>
          <w:lang w:val="hr-HR"/>
        </w:rPr>
        <w:t xml:space="preserve">propisano je da </w:t>
      </w:r>
      <w:r w:rsidR="007706A9" w:rsidRPr="007706A9">
        <w:rPr>
          <w:lang w:val="hr-HR"/>
        </w:rPr>
        <w:t>pristup tajnim podacima svih stepena bez sigurnosne</w:t>
      </w:r>
      <w:r w:rsidR="007706A9">
        <w:rPr>
          <w:lang w:val="hr-HR"/>
        </w:rPr>
        <w:t xml:space="preserve"> </w:t>
      </w:r>
      <w:r w:rsidR="007706A9" w:rsidRPr="007706A9">
        <w:rPr>
          <w:lang w:val="hr-HR"/>
        </w:rPr>
        <w:t>provjere, odnosno izdavanja dozvole za pristup tajnim podacima imaju</w:t>
      </w:r>
      <w:r w:rsidR="007706A9">
        <w:rPr>
          <w:lang w:val="hr-HR"/>
        </w:rPr>
        <w:t xml:space="preserve"> </w:t>
      </w:r>
      <w:proofErr w:type="spellStart"/>
      <w:r w:rsidR="007706A9">
        <w:rPr>
          <w:lang w:val="hr-HR"/>
        </w:rPr>
        <w:t>sudije</w:t>
      </w:r>
      <w:proofErr w:type="spellEnd"/>
      <w:r w:rsidR="007706A9">
        <w:rPr>
          <w:lang w:val="hr-HR"/>
        </w:rPr>
        <w:t xml:space="preserve"> i tužioci svih nivoa.</w:t>
      </w:r>
      <w:r w:rsidR="00B7025C">
        <w:rPr>
          <w:lang w:val="hr-HR"/>
        </w:rPr>
        <w:t xml:space="preserve"> </w:t>
      </w:r>
      <w:r w:rsidR="00B7025C" w:rsidRPr="00F16B2A">
        <w:rPr>
          <w:lang w:val="hr-HR"/>
        </w:rPr>
        <w:t xml:space="preserve">U praksi je prisutno korištenje tajnih podataka u pravosudnim postupcima, bilo da su ih tajnim označile druge institucije ili sudovi i tužilaštva. Teoretski, bilo koji sudija ili tužilac može doći u doticaj s ovim podacima. Da zakon nije napravio izuzetak u pogledu sudija i tužilaca, i oni bi morali proći </w:t>
      </w:r>
      <w:r w:rsidR="00A43442" w:rsidRPr="00F16B2A">
        <w:rPr>
          <w:lang w:val="hr-HR"/>
        </w:rPr>
        <w:t xml:space="preserve">prethodne </w:t>
      </w:r>
      <w:r w:rsidR="00B7025C" w:rsidRPr="00F16B2A">
        <w:rPr>
          <w:lang w:val="hr-HR"/>
        </w:rPr>
        <w:t xml:space="preserve">sigurnosne provjere kao i drugi </w:t>
      </w:r>
      <w:r w:rsidR="00063AA4" w:rsidRPr="00F16B2A">
        <w:rPr>
          <w:lang w:val="hr-HR"/>
        </w:rPr>
        <w:t>zaposleni u ovim institucijama</w:t>
      </w:r>
      <w:r w:rsidR="00A43442" w:rsidRPr="00F16B2A">
        <w:rPr>
          <w:lang w:val="hr-HR"/>
        </w:rPr>
        <w:t xml:space="preserve"> prije nego što budu upoznati sa tajnim podacima.</w:t>
      </w:r>
    </w:p>
    <w:p w14:paraId="01E39EDE" w14:textId="77777777" w:rsidR="00872061" w:rsidRDefault="00872061" w:rsidP="007706A9">
      <w:pPr>
        <w:spacing w:after="120"/>
        <w:ind w:right="-7"/>
        <w:jc w:val="both"/>
        <w:rPr>
          <w:lang w:val="hr-HR"/>
        </w:rPr>
      </w:pPr>
    </w:p>
    <w:p w14:paraId="3653AA6A" w14:textId="184F976B" w:rsidR="005C20EB" w:rsidRPr="002A7E14" w:rsidRDefault="004E61F4" w:rsidP="00B245DA">
      <w:pPr>
        <w:spacing w:after="120"/>
        <w:ind w:right="-7"/>
        <w:jc w:val="both"/>
        <w:rPr>
          <w:b/>
          <w:bCs/>
          <w:lang w:val="hr-HR"/>
        </w:rPr>
      </w:pPr>
      <w:r>
        <w:rPr>
          <w:b/>
          <w:bCs/>
          <w:lang w:val="hr-HR"/>
        </w:rPr>
        <w:t xml:space="preserve">5. </w:t>
      </w:r>
      <w:bookmarkStart w:id="10" w:name="_Hlk103633779"/>
      <w:r w:rsidR="000F16CD">
        <w:rPr>
          <w:b/>
          <w:bCs/>
          <w:lang w:val="hr-HR"/>
        </w:rPr>
        <w:t>Zaključak - m</w:t>
      </w:r>
      <w:r w:rsidR="00690E92" w:rsidRPr="00872061">
        <w:rPr>
          <w:b/>
          <w:bCs/>
          <w:lang w:val="hr-HR"/>
        </w:rPr>
        <w:t>ogućnosti primjene Zakona o zaštiti tajnih podataka na nosioce pravosudnih funkcija</w:t>
      </w:r>
      <w:r w:rsidR="00943682" w:rsidRPr="00872061">
        <w:rPr>
          <w:b/>
          <w:bCs/>
          <w:lang w:val="hr-HR"/>
        </w:rPr>
        <w:t xml:space="preserve"> </w:t>
      </w:r>
      <w:bookmarkEnd w:id="10"/>
    </w:p>
    <w:p w14:paraId="42BD6B04" w14:textId="7CE4B555" w:rsidR="001A0F52" w:rsidRDefault="00872061" w:rsidP="00B245DA">
      <w:pPr>
        <w:spacing w:after="120"/>
        <w:ind w:right="-7"/>
        <w:jc w:val="both"/>
        <w:rPr>
          <w:lang w:val="hr-HR"/>
        </w:rPr>
      </w:pPr>
      <w:r>
        <w:rPr>
          <w:lang w:val="hr-HR"/>
        </w:rPr>
        <w:t>Analizirajući trenutni pravni okvir može</w:t>
      </w:r>
      <w:r w:rsidR="002A7E14">
        <w:rPr>
          <w:lang w:val="hr-HR"/>
        </w:rPr>
        <w:t xml:space="preserve"> se</w:t>
      </w:r>
      <w:r>
        <w:rPr>
          <w:lang w:val="hr-HR"/>
        </w:rPr>
        <w:t xml:space="preserve"> zaključiti da Zakon o VSTV-u ne pruža dovoljne garancije za uspostavljanje potrebnog stepena integriteta nosilaca pravosudne funkcije koji bi povratio povjerenje javnosti u ispravno </w:t>
      </w:r>
      <w:proofErr w:type="spellStart"/>
      <w:r>
        <w:rPr>
          <w:lang w:val="hr-HR"/>
        </w:rPr>
        <w:t>funkcionisanje</w:t>
      </w:r>
      <w:proofErr w:type="spellEnd"/>
      <w:r>
        <w:rPr>
          <w:lang w:val="hr-HR"/>
        </w:rPr>
        <w:t xml:space="preserve"> pravosudnog sistema. </w:t>
      </w:r>
      <w:r w:rsidR="002F3D67">
        <w:rPr>
          <w:lang w:val="hr-HR"/>
        </w:rPr>
        <w:t xml:space="preserve">Dokumenti i informacije koje </w:t>
      </w:r>
      <w:r w:rsidR="00D30C06">
        <w:rPr>
          <w:lang w:val="hr-HR"/>
        </w:rPr>
        <w:t xml:space="preserve">kandidati dostavljaju VSTV-u prilikom apliciranja na upražnjenje pozicije u pravosuđu nisu podložni sistematskim provjerama. Saznanja o </w:t>
      </w:r>
      <w:proofErr w:type="spellStart"/>
      <w:r w:rsidR="00D30C06">
        <w:rPr>
          <w:lang w:val="hr-HR"/>
        </w:rPr>
        <w:t>netačnim</w:t>
      </w:r>
      <w:proofErr w:type="spellEnd"/>
      <w:r w:rsidR="00C312D4">
        <w:rPr>
          <w:lang w:val="hr-HR"/>
        </w:rPr>
        <w:t>, nepotpunim</w:t>
      </w:r>
      <w:r w:rsidR="00D30C06">
        <w:rPr>
          <w:lang w:val="hr-HR"/>
        </w:rPr>
        <w:t xml:space="preserve"> ili lažnim </w:t>
      </w:r>
      <w:proofErr w:type="spellStart"/>
      <w:r w:rsidR="00D30C06">
        <w:rPr>
          <w:lang w:val="hr-HR"/>
        </w:rPr>
        <w:t>infomacijama</w:t>
      </w:r>
      <w:proofErr w:type="spellEnd"/>
      <w:r w:rsidR="00D30C06">
        <w:rPr>
          <w:lang w:val="hr-HR"/>
        </w:rPr>
        <w:t xml:space="preserve"> su anegdotalna i obično dolaze od </w:t>
      </w:r>
      <w:proofErr w:type="spellStart"/>
      <w:r w:rsidR="00D30C06">
        <w:rPr>
          <w:lang w:val="hr-HR"/>
        </w:rPr>
        <w:t>zainteresovanih</w:t>
      </w:r>
      <w:proofErr w:type="spellEnd"/>
      <w:r w:rsidR="00D30C06">
        <w:rPr>
          <w:lang w:val="hr-HR"/>
        </w:rPr>
        <w:t xml:space="preserve"> lica</w:t>
      </w:r>
      <w:r w:rsidR="000A66EB">
        <w:rPr>
          <w:lang w:val="hr-HR"/>
        </w:rPr>
        <w:t xml:space="preserve"> – ukoliko takvih </w:t>
      </w:r>
      <w:proofErr w:type="spellStart"/>
      <w:r w:rsidR="001A0F52">
        <w:rPr>
          <w:lang w:val="hr-HR"/>
        </w:rPr>
        <w:t>uopšte</w:t>
      </w:r>
      <w:proofErr w:type="spellEnd"/>
      <w:r w:rsidR="001A0F52">
        <w:rPr>
          <w:lang w:val="hr-HR"/>
        </w:rPr>
        <w:t xml:space="preserve"> </w:t>
      </w:r>
      <w:r w:rsidR="000A66EB">
        <w:rPr>
          <w:lang w:val="hr-HR"/>
        </w:rPr>
        <w:t xml:space="preserve">ima. Zakon o VSTV-u, </w:t>
      </w:r>
      <w:r w:rsidR="000A66EB" w:rsidRPr="000A66EB">
        <w:rPr>
          <w:i/>
          <w:iCs/>
          <w:lang w:val="hr-HR"/>
        </w:rPr>
        <w:t xml:space="preserve">de lege </w:t>
      </w:r>
      <w:proofErr w:type="spellStart"/>
      <w:r w:rsidR="000A66EB" w:rsidRPr="000A66EB">
        <w:rPr>
          <w:i/>
          <w:iCs/>
          <w:lang w:val="hr-HR"/>
        </w:rPr>
        <w:t>lata</w:t>
      </w:r>
      <w:proofErr w:type="spellEnd"/>
      <w:r w:rsidR="000A66EB">
        <w:rPr>
          <w:lang w:val="hr-HR"/>
        </w:rPr>
        <w:t xml:space="preserve">, ne omogućava provjeru proporcionalnosti prihoda i imovine sudija i tužilaca. </w:t>
      </w:r>
      <w:r w:rsidR="001A0F52">
        <w:rPr>
          <w:lang w:val="hr-HR"/>
        </w:rPr>
        <w:t>N</w:t>
      </w:r>
      <w:r w:rsidR="000A66EB">
        <w:rPr>
          <w:lang w:val="hr-HR"/>
        </w:rPr>
        <w:t xml:space="preserve">osilac pravosudne funkcije koji uredno prijavi svoju potpunu imovinu ne snosi nikakve posljedice čak i ukoliko </w:t>
      </w:r>
      <w:r w:rsidR="001A0F52">
        <w:rPr>
          <w:lang w:val="hr-HR"/>
        </w:rPr>
        <w:t>postoji nesrazmjer koji i laici mogu utvrditi. U rijetkim slučajevima saznanja za nepravilnosti disciplinski postupci su vodili krivudavim stazama, i nisu pr</w:t>
      </w:r>
      <w:r w:rsidR="004E61F4">
        <w:rPr>
          <w:lang w:val="hr-HR"/>
        </w:rPr>
        <w:t>ikazali dovoljnu</w:t>
      </w:r>
      <w:r w:rsidR="001A0F52">
        <w:rPr>
          <w:lang w:val="hr-HR"/>
        </w:rPr>
        <w:t xml:space="preserve"> </w:t>
      </w:r>
      <w:r w:rsidR="002408D9">
        <w:rPr>
          <w:lang w:val="hr-HR"/>
        </w:rPr>
        <w:t xml:space="preserve">odlučnost disciplinskih organa ni </w:t>
      </w:r>
      <w:proofErr w:type="spellStart"/>
      <w:r w:rsidR="001A0F52">
        <w:rPr>
          <w:lang w:val="hr-HR"/>
        </w:rPr>
        <w:t>odvraćajuće</w:t>
      </w:r>
      <w:proofErr w:type="spellEnd"/>
      <w:r w:rsidR="001A0F52">
        <w:rPr>
          <w:lang w:val="hr-HR"/>
        </w:rPr>
        <w:t xml:space="preserve"> sankcije koje bi </w:t>
      </w:r>
      <w:r w:rsidR="002408D9">
        <w:rPr>
          <w:lang w:val="hr-HR"/>
        </w:rPr>
        <w:t xml:space="preserve">uspostavile generalnu prevenciju i </w:t>
      </w:r>
      <w:r w:rsidR="001A0F52">
        <w:rPr>
          <w:lang w:val="hr-HR"/>
        </w:rPr>
        <w:t xml:space="preserve">obeshrabrile </w:t>
      </w:r>
      <w:r w:rsidR="002408D9">
        <w:rPr>
          <w:lang w:val="hr-HR"/>
        </w:rPr>
        <w:t xml:space="preserve">buduće zloupotrebe. </w:t>
      </w:r>
      <w:proofErr w:type="spellStart"/>
      <w:r w:rsidR="002408D9">
        <w:rPr>
          <w:lang w:val="hr-HR"/>
        </w:rPr>
        <w:t>Štaviše</w:t>
      </w:r>
      <w:proofErr w:type="spellEnd"/>
      <w:r w:rsidR="002408D9">
        <w:rPr>
          <w:lang w:val="hr-HR"/>
        </w:rPr>
        <w:t xml:space="preserve">, stiče se utisak da se rizik </w:t>
      </w:r>
      <w:r w:rsidR="00D653D2">
        <w:rPr>
          <w:lang w:val="hr-HR"/>
        </w:rPr>
        <w:t>u pojedinim situacijama</w:t>
      </w:r>
      <w:r w:rsidR="002408D9">
        <w:rPr>
          <w:lang w:val="hr-HR"/>
        </w:rPr>
        <w:t xml:space="preserve"> isplati.</w:t>
      </w:r>
      <w:r w:rsidR="001A0F52">
        <w:rPr>
          <w:lang w:val="hr-HR"/>
        </w:rPr>
        <w:t xml:space="preserve">  </w:t>
      </w:r>
    </w:p>
    <w:p w14:paraId="77BF4F5E" w14:textId="77777777" w:rsidR="000D3404" w:rsidRDefault="000D3404" w:rsidP="000D3404">
      <w:pPr>
        <w:spacing w:after="120"/>
        <w:ind w:right="-7"/>
        <w:jc w:val="both"/>
        <w:rPr>
          <w:lang w:val="hr-HR"/>
        </w:rPr>
      </w:pPr>
      <w:r>
        <w:rPr>
          <w:lang w:val="hr-HR"/>
        </w:rPr>
        <w:t xml:space="preserve">Dosljedna primjena propisa u disciplinskim postupcima koji se odnose na nepotpuno ili obmanjujuće dostavljanje informacija, kao i </w:t>
      </w:r>
      <w:proofErr w:type="spellStart"/>
      <w:r>
        <w:rPr>
          <w:lang w:val="hr-HR"/>
        </w:rPr>
        <w:t>finansijskih</w:t>
      </w:r>
      <w:proofErr w:type="spellEnd"/>
      <w:r>
        <w:rPr>
          <w:lang w:val="hr-HR"/>
        </w:rPr>
        <w:t xml:space="preserve"> izvještaja, podjednako prema svim </w:t>
      </w:r>
      <w:proofErr w:type="spellStart"/>
      <w:r>
        <w:rPr>
          <w:lang w:val="hr-HR"/>
        </w:rPr>
        <w:t>sudijama</w:t>
      </w:r>
      <w:proofErr w:type="spellEnd"/>
      <w:r>
        <w:rPr>
          <w:lang w:val="hr-HR"/>
        </w:rPr>
        <w:t xml:space="preserve"> i tužiocima, predstavljala bi ključni doprinos disciplinskih tijela integritetu pravosuđa, a samim tim, kako je rečeno u uvodu ove analize, i vladavini prava u našoj zemlji.</w:t>
      </w:r>
    </w:p>
    <w:p w14:paraId="0154BDF7" w14:textId="1C22A8B8" w:rsidR="002408D9" w:rsidRDefault="004E61F4" w:rsidP="00B245DA">
      <w:pPr>
        <w:spacing w:after="120"/>
        <w:ind w:right="-7"/>
        <w:jc w:val="both"/>
        <w:rPr>
          <w:lang w:val="hr-HR"/>
        </w:rPr>
      </w:pPr>
      <w:r>
        <w:rPr>
          <w:lang w:val="hr-HR"/>
        </w:rPr>
        <w:t xml:space="preserve">Ako </w:t>
      </w:r>
      <w:r w:rsidR="0067268B">
        <w:rPr>
          <w:lang w:val="hr-HR"/>
        </w:rPr>
        <w:t xml:space="preserve">se </w:t>
      </w:r>
      <w:r>
        <w:rPr>
          <w:lang w:val="hr-HR"/>
        </w:rPr>
        <w:t>pođe od potrebe vršenja</w:t>
      </w:r>
      <w:r w:rsidR="00C312D4">
        <w:rPr>
          <w:lang w:val="hr-HR"/>
        </w:rPr>
        <w:t xml:space="preserve"> sistemskog pročišćavanja pravosudnog sistema, kao u albanskom primjeru, zaključ</w:t>
      </w:r>
      <w:r w:rsidR="0067268B">
        <w:rPr>
          <w:lang w:val="hr-HR"/>
        </w:rPr>
        <w:t>ujem</w:t>
      </w:r>
      <w:r w:rsidR="00C312D4">
        <w:rPr>
          <w:lang w:val="hr-HR"/>
        </w:rPr>
        <w:t xml:space="preserve"> da Zakon o zaštiti tajnih podataka predstavlja potencijalno kvalitetan alat za ovu svrhu</w:t>
      </w:r>
      <w:r w:rsidR="00D653D2">
        <w:rPr>
          <w:lang w:val="hr-HR"/>
        </w:rPr>
        <w:t>, zato što tangira mnoge potencijalne tačke integriteta provjeravanog kandidata: njegovo obrazovanje, radno iskustvo, raniju osuđivanost, neobjašnjivo bogaćenje, kontakte sa kriminalnim grupama</w:t>
      </w:r>
      <w:r w:rsidR="00D653D2" w:rsidRPr="00F16B2A">
        <w:rPr>
          <w:lang w:val="hr-HR"/>
        </w:rPr>
        <w:t xml:space="preserve">. </w:t>
      </w:r>
      <w:r w:rsidR="00063AA4" w:rsidRPr="00F16B2A">
        <w:rPr>
          <w:lang w:val="hr-HR"/>
        </w:rPr>
        <w:t xml:space="preserve">Naravno, ovakav potencijal Zakona o zaštiti tajnih podataka </w:t>
      </w:r>
      <w:r w:rsidR="009D2D76" w:rsidRPr="00F16B2A">
        <w:rPr>
          <w:lang w:val="hr-HR"/>
        </w:rPr>
        <w:t>bi bio ostvaren samo ukoliko bi se čl. 5 zakona izmijenio i uspostavila obaveza sudija i tužilaca da prođu sigurnosne provjere kako bi mogli pristupiti tajnim podacima.</w:t>
      </w:r>
    </w:p>
    <w:p w14:paraId="2B08671A" w14:textId="6E930AE0" w:rsidR="005D278B" w:rsidRDefault="005D278B" w:rsidP="00B245DA">
      <w:pPr>
        <w:spacing w:after="120"/>
        <w:ind w:right="-7"/>
        <w:jc w:val="both"/>
        <w:rPr>
          <w:lang w:val="hr-HR"/>
        </w:rPr>
      </w:pPr>
      <w:r w:rsidRPr="0069389D">
        <w:rPr>
          <w:lang w:val="hr-HR"/>
        </w:rPr>
        <w:lastRenderedPageBreak/>
        <w:t xml:space="preserve">Jedno od otvorenih pitanja je </w:t>
      </w:r>
      <w:proofErr w:type="spellStart"/>
      <w:r w:rsidRPr="0069389D">
        <w:rPr>
          <w:lang w:val="hr-HR"/>
        </w:rPr>
        <w:t>ko</w:t>
      </w:r>
      <w:proofErr w:type="spellEnd"/>
      <w:r w:rsidRPr="0069389D">
        <w:rPr>
          <w:lang w:val="hr-HR"/>
        </w:rPr>
        <w:t xml:space="preserve"> bi vršio sigurnosne provjere u slučaju</w:t>
      </w:r>
      <w:r w:rsidR="001F0CAB" w:rsidRPr="0069389D">
        <w:rPr>
          <w:lang w:val="hr-HR"/>
        </w:rPr>
        <w:t xml:space="preserve"> zakonodavnih izmjena</w:t>
      </w:r>
      <w:r w:rsidRPr="0069389D">
        <w:rPr>
          <w:lang w:val="hr-HR"/>
        </w:rPr>
        <w:t xml:space="preserve">: OSA, što je generalno zakonsko rješenje, ili bi se za pravosuđe napravio izuzetak kao što je kad su u pitanju oružane snage i policijski organi. U svakom slučaju, trenutno zakonsko rješenje omogućava </w:t>
      </w:r>
      <w:proofErr w:type="spellStart"/>
      <w:r w:rsidRPr="0069389D">
        <w:rPr>
          <w:lang w:val="hr-HR"/>
        </w:rPr>
        <w:t>dvostepenost</w:t>
      </w:r>
      <w:proofErr w:type="spellEnd"/>
      <w:r w:rsidRPr="0069389D">
        <w:rPr>
          <w:lang w:val="hr-HR"/>
        </w:rPr>
        <w:t xml:space="preserve"> u odlučivanju i sudsku zaštitu u upravnom sporu</w:t>
      </w:r>
      <w:r>
        <w:rPr>
          <w:lang w:val="hr-HR"/>
        </w:rPr>
        <w:t xml:space="preserve">. </w:t>
      </w:r>
    </w:p>
    <w:p w14:paraId="7C681707" w14:textId="77777777" w:rsidR="00ED673B" w:rsidRDefault="00ED673B" w:rsidP="00B245DA">
      <w:pPr>
        <w:spacing w:after="120"/>
        <w:ind w:right="-7"/>
        <w:jc w:val="both"/>
        <w:rPr>
          <w:lang w:val="hr-HR"/>
        </w:rPr>
      </w:pPr>
      <w:r>
        <w:rPr>
          <w:lang w:val="hr-HR"/>
        </w:rPr>
        <w:t xml:space="preserve">Jedno je sigurno, izrečena disciplinska mjera ne može biti jedini alat da se iz pravosuđa uklone </w:t>
      </w:r>
      <w:proofErr w:type="spellStart"/>
      <w:r>
        <w:rPr>
          <w:lang w:val="hr-HR"/>
        </w:rPr>
        <w:t>sudije</w:t>
      </w:r>
      <w:proofErr w:type="spellEnd"/>
      <w:r>
        <w:rPr>
          <w:lang w:val="hr-HR"/>
        </w:rPr>
        <w:t xml:space="preserve"> i tužioci koji tu ne pripadaju. Ostvareni radni rezultati, kompetentnost i </w:t>
      </w:r>
      <w:r w:rsidRPr="003D292D">
        <w:rPr>
          <w:i/>
          <w:iCs/>
          <w:lang w:val="hr-HR"/>
        </w:rPr>
        <w:t>integritet</w:t>
      </w:r>
      <w:r>
        <w:rPr>
          <w:lang w:val="hr-HR"/>
        </w:rPr>
        <w:t xml:space="preserve"> morali bi vrlo brzo postati ključni </w:t>
      </w:r>
      <w:proofErr w:type="spellStart"/>
      <w:r>
        <w:rPr>
          <w:lang w:val="hr-HR"/>
        </w:rPr>
        <w:t>preduslov</w:t>
      </w:r>
      <w:proofErr w:type="spellEnd"/>
      <w:r>
        <w:rPr>
          <w:lang w:val="hr-HR"/>
        </w:rPr>
        <w:t xml:space="preserve"> za obavljanje pravosudne funkcije. </w:t>
      </w:r>
    </w:p>
    <w:p w14:paraId="404850EE" w14:textId="34D96162" w:rsidR="008C6C76" w:rsidRDefault="008C6C76" w:rsidP="00B245DA">
      <w:pPr>
        <w:spacing w:after="120"/>
        <w:ind w:right="-7"/>
        <w:jc w:val="both"/>
        <w:rPr>
          <w:lang w:val="hr-HR"/>
        </w:rPr>
      </w:pPr>
      <w:r>
        <w:rPr>
          <w:lang w:val="hr-HR"/>
        </w:rPr>
        <w:t>Progresivne izmjene i dopune postojećeg Zakona o VSTV-u, prema trenutnom stanju stvari, neće dobiti podršku</w:t>
      </w:r>
      <w:r w:rsidR="000F16CD">
        <w:rPr>
          <w:lang w:val="hr-HR"/>
        </w:rPr>
        <w:t xml:space="preserve"> zakonodavne vlasti</w:t>
      </w:r>
      <w:r>
        <w:rPr>
          <w:lang w:val="hr-HR"/>
        </w:rPr>
        <w:t xml:space="preserve">. Stoga možemo očekivati da i druge </w:t>
      </w:r>
      <w:r w:rsidRPr="0069389D">
        <w:rPr>
          <w:lang w:val="hr-HR"/>
        </w:rPr>
        <w:t>zakonodavne inicijative</w:t>
      </w:r>
      <w:r w:rsidR="001F0CAB" w:rsidRPr="0069389D">
        <w:rPr>
          <w:lang w:val="hr-HR"/>
        </w:rPr>
        <w:t>, poput izmjena Zakona o zaš</w:t>
      </w:r>
      <w:r w:rsidR="00DE67ED" w:rsidRPr="0069389D">
        <w:rPr>
          <w:lang w:val="hr-HR"/>
        </w:rPr>
        <w:t>titi tajnih podataka,</w:t>
      </w:r>
      <w:r w:rsidRPr="0069389D">
        <w:rPr>
          <w:lang w:val="hr-HR"/>
        </w:rPr>
        <w:t xml:space="preserve"> naiđu na sličnu</w:t>
      </w:r>
      <w:r>
        <w:rPr>
          <w:lang w:val="hr-HR"/>
        </w:rPr>
        <w:t xml:space="preserve"> prepreku, kojom se dokazuje sinergija različitih grana vlasti „</w:t>
      </w:r>
      <w:r w:rsidRPr="008C6C76">
        <w:rPr>
          <w:i/>
          <w:iCs/>
          <w:lang w:val="hr-HR"/>
        </w:rPr>
        <w:t>zarobljene države</w:t>
      </w:r>
      <w:r>
        <w:rPr>
          <w:lang w:val="hr-HR"/>
        </w:rPr>
        <w:t>“. U ovakvim situacijama</w:t>
      </w:r>
      <w:r w:rsidR="000D3404">
        <w:rPr>
          <w:lang w:val="hr-HR"/>
        </w:rPr>
        <w:t>,</w:t>
      </w:r>
      <w:r>
        <w:rPr>
          <w:lang w:val="hr-HR"/>
        </w:rPr>
        <w:t xml:space="preserve"> </w:t>
      </w:r>
      <w:r w:rsidR="009B2FFE">
        <w:rPr>
          <w:lang w:val="hr-HR"/>
        </w:rPr>
        <w:t>očekivanja se svode na eventualnu intervenciju Ureda visokog predstavnika u BiH, kakvih zadnjih godina nije bilo mnogo.</w:t>
      </w:r>
    </w:p>
    <w:p w14:paraId="7BB4F2DE" w14:textId="7D230FA3" w:rsidR="003879B8" w:rsidRPr="001203BD" w:rsidRDefault="00EC63ED" w:rsidP="00994055">
      <w:pPr>
        <w:spacing w:after="120"/>
        <w:ind w:right="-7"/>
        <w:jc w:val="both"/>
        <w:rPr>
          <w:lang w:val="hr-HR"/>
        </w:rPr>
      </w:pPr>
      <w:r>
        <w:rPr>
          <w:lang w:val="hr-HR"/>
        </w:rPr>
        <w:t xml:space="preserve">Iako Prijedlog zakona o izmjenama i dopunama Zakona o VSTV-u nudi </w:t>
      </w:r>
      <w:r w:rsidR="00ED673B">
        <w:rPr>
          <w:lang w:val="hr-HR"/>
        </w:rPr>
        <w:t xml:space="preserve">izmjene koje predstavljaju unapređenje u odnosu na postojeće stanje, ipak se čini da sigurnosne provjere predstavljaju dosta širi osnov za prijeko potrebnu </w:t>
      </w:r>
      <w:r w:rsidR="00781C8D">
        <w:rPr>
          <w:lang w:val="hr-HR"/>
        </w:rPr>
        <w:t xml:space="preserve">provjeru integriteta nosilaca pravosudnih funkcija. Stoga bi pored izmjena i dopuna Zakona o VSTV-u bilo potrebno </w:t>
      </w:r>
      <w:r w:rsidR="00F36950">
        <w:rPr>
          <w:lang w:val="hr-HR"/>
        </w:rPr>
        <w:t xml:space="preserve">izmijeniti i Zakon o zaštiti tajnih podataka, kako bi </w:t>
      </w:r>
      <w:r w:rsidR="002557B8">
        <w:rPr>
          <w:lang w:val="hr-HR"/>
        </w:rPr>
        <w:t xml:space="preserve">sigurnosnim provjerama bili obuhvaćeni i </w:t>
      </w:r>
      <w:proofErr w:type="spellStart"/>
      <w:r w:rsidR="002557B8">
        <w:rPr>
          <w:lang w:val="hr-HR"/>
        </w:rPr>
        <w:t>sudije</w:t>
      </w:r>
      <w:proofErr w:type="spellEnd"/>
      <w:r w:rsidR="002557B8">
        <w:rPr>
          <w:lang w:val="hr-HR"/>
        </w:rPr>
        <w:t xml:space="preserve"> i tužioci.</w:t>
      </w:r>
    </w:p>
    <w:sectPr w:rsidR="003879B8" w:rsidRPr="001203BD" w:rsidSect="00B06391">
      <w:footerReference w:type="even" r:id="rId8"/>
      <w:footerReference w:type="default" r:id="rId9"/>
      <w:pgSz w:w="12240" w:h="15840" w:code="1"/>
      <w:pgMar w:top="1440" w:right="1797" w:bottom="1440" w:left="1797" w:header="709"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320B" w14:textId="77777777" w:rsidR="00BD78E1" w:rsidRDefault="00BD78E1">
      <w:r>
        <w:separator/>
      </w:r>
    </w:p>
  </w:endnote>
  <w:endnote w:type="continuationSeparator" w:id="0">
    <w:p w14:paraId="7BB02B46" w14:textId="77777777" w:rsidR="00BD78E1" w:rsidRDefault="00B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PP">
    <w:altName w:val="Times New Roman"/>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1269" w14:textId="77777777" w:rsidR="00AA5539" w:rsidRDefault="00AA5539" w:rsidP="004B2B2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4F9F3B3" w14:textId="77777777" w:rsidR="00AA5539" w:rsidRDefault="00AA55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406E" w14:textId="77777777" w:rsidR="00AA5539" w:rsidRDefault="00AA5539" w:rsidP="004B2B2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12DBE">
      <w:rPr>
        <w:rStyle w:val="Seitenzahl"/>
        <w:noProof/>
      </w:rPr>
      <w:t>6</w:t>
    </w:r>
    <w:r>
      <w:rPr>
        <w:rStyle w:val="Seitenzahl"/>
      </w:rPr>
      <w:fldChar w:fldCharType="end"/>
    </w:r>
  </w:p>
  <w:p w14:paraId="1796738F" w14:textId="77777777" w:rsidR="00AA5539" w:rsidRDefault="00AA55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F964" w14:textId="77777777" w:rsidR="00BD78E1" w:rsidRDefault="00BD78E1">
      <w:r>
        <w:separator/>
      </w:r>
    </w:p>
  </w:footnote>
  <w:footnote w:type="continuationSeparator" w:id="0">
    <w:p w14:paraId="7ED4BB31" w14:textId="77777777" w:rsidR="00BD78E1" w:rsidRDefault="00BD78E1">
      <w:r>
        <w:continuationSeparator/>
      </w:r>
    </w:p>
  </w:footnote>
  <w:footnote w:id="1">
    <w:p w14:paraId="21E223F2" w14:textId="77777777" w:rsidR="003B6124" w:rsidRPr="003B6124" w:rsidRDefault="003B6124" w:rsidP="00937778">
      <w:pPr>
        <w:pStyle w:val="Funotentext"/>
        <w:jc w:val="both"/>
        <w:rPr>
          <w:lang w:val="hr-HR"/>
        </w:rPr>
      </w:pPr>
      <w:r w:rsidRPr="003B6124">
        <w:rPr>
          <w:rStyle w:val="Funotenzeichen"/>
        </w:rPr>
        <w:sym w:font="Symbol" w:char="F02A"/>
      </w:r>
      <w:r>
        <w:t xml:space="preserve"> </w:t>
      </w:r>
      <w:r>
        <w:rPr>
          <w:lang w:val="hr-HR"/>
        </w:rPr>
        <w:t>Au</w:t>
      </w:r>
      <w:r w:rsidR="000E1231">
        <w:rPr>
          <w:lang w:val="hr-HR"/>
        </w:rPr>
        <w:t>t</w:t>
      </w:r>
      <w:r>
        <w:rPr>
          <w:lang w:val="hr-HR"/>
        </w:rPr>
        <w:t xml:space="preserve">or </w:t>
      </w:r>
      <w:r w:rsidR="00BE2D37">
        <w:rPr>
          <w:lang w:val="hr-HR"/>
        </w:rPr>
        <w:t xml:space="preserve">je zamjenik glavnog </w:t>
      </w:r>
      <w:r w:rsidR="000A4D46" w:rsidRPr="000A4D46">
        <w:rPr>
          <w:lang w:val="hr-HR"/>
        </w:rPr>
        <w:t>disciplinsk</w:t>
      </w:r>
      <w:r w:rsidR="00BE2D37">
        <w:rPr>
          <w:lang w:val="hr-HR"/>
        </w:rPr>
        <w:t>og</w:t>
      </w:r>
      <w:r w:rsidR="00E16DD7">
        <w:rPr>
          <w:lang w:val="hr-HR"/>
        </w:rPr>
        <w:t xml:space="preserve"> </w:t>
      </w:r>
      <w:r w:rsidR="000A4D46" w:rsidRPr="000A4D46">
        <w:rPr>
          <w:lang w:val="hr-HR"/>
        </w:rPr>
        <w:t>tuži</w:t>
      </w:r>
      <w:r w:rsidR="00BE2D37">
        <w:rPr>
          <w:lang w:val="hr-HR"/>
        </w:rPr>
        <w:t>oca</w:t>
      </w:r>
      <w:r w:rsidR="000A4D46" w:rsidRPr="000A4D46">
        <w:rPr>
          <w:lang w:val="hr-HR"/>
        </w:rPr>
        <w:t xml:space="preserve"> u Uredu disciplinskog tužioca Visokog sudskog i tužilačkog vijeća Bosne i Hercegovine.</w:t>
      </w:r>
    </w:p>
  </w:footnote>
  <w:footnote w:id="2">
    <w:p w14:paraId="7B89B56E" w14:textId="6B4F1FE3" w:rsidR="000C1C20" w:rsidRDefault="000C1C20" w:rsidP="0014331A">
      <w:pPr>
        <w:pStyle w:val="Funotentext"/>
        <w:jc w:val="both"/>
      </w:pPr>
      <w:r>
        <w:rPr>
          <w:rStyle w:val="Funotenzeichen"/>
        </w:rPr>
        <w:footnoteRef/>
      </w:r>
      <w:r>
        <w:t xml:space="preserve"> </w:t>
      </w:r>
      <w:r w:rsidRPr="000C1C20">
        <w:t>I</w:t>
      </w:r>
      <w:r w:rsidR="008D53BE">
        <w:t>.</w:t>
      </w:r>
      <w:r w:rsidRPr="000C1C20">
        <w:t xml:space="preserve"> </w:t>
      </w:r>
      <w:proofErr w:type="spellStart"/>
      <w:r w:rsidRPr="000C1C20">
        <w:t>Xhepa</w:t>
      </w:r>
      <w:proofErr w:type="spellEnd"/>
      <w:r>
        <w:t xml:space="preserve">, </w:t>
      </w:r>
      <w:r w:rsidRPr="000C1C20">
        <w:t xml:space="preserve">XHOXHAJ V. ALBANIA: </w:t>
      </w:r>
      <w:proofErr w:type="spellStart"/>
      <w:r>
        <w:t>T</w:t>
      </w:r>
      <w:r w:rsidRPr="000C1C20">
        <w:t>he</w:t>
      </w:r>
      <w:proofErr w:type="spellEnd"/>
      <w:r w:rsidRPr="000C1C20">
        <w:t xml:space="preserve"> </w:t>
      </w:r>
      <w:proofErr w:type="spellStart"/>
      <w:r w:rsidRPr="000C1C20">
        <w:t>aftermath</w:t>
      </w:r>
      <w:proofErr w:type="spellEnd"/>
      <w:r w:rsidRPr="000C1C20">
        <w:t xml:space="preserve"> </w:t>
      </w:r>
      <w:proofErr w:type="spellStart"/>
      <w:r w:rsidRPr="000C1C20">
        <w:t>of</w:t>
      </w:r>
      <w:proofErr w:type="spellEnd"/>
      <w:r w:rsidRPr="000C1C20">
        <w:t xml:space="preserve"> </w:t>
      </w:r>
      <w:proofErr w:type="spellStart"/>
      <w:r w:rsidRPr="000C1C20">
        <w:t>the</w:t>
      </w:r>
      <w:proofErr w:type="spellEnd"/>
      <w:r w:rsidRPr="000C1C20">
        <w:t xml:space="preserve"> </w:t>
      </w:r>
      <w:proofErr w:type="spellStart"/>
      <w:r w:rsidRPr="000C1C20">
        <w:t>vetting</w:t>
      </w:r>
      <w:proofErr w:type="spellEnd"/>
      <w:r w:rsidRPr="000C1C20">
        <w:t xml:space="preserve"> </w:t>
      </w:r>
      <w:proofErr w:type="spellStart"/>
      <w:r w:rsidRPr="000C1C20">
        <w:t>process</w:t>
      </w:r>
      <w:proofErr w:type="spellEnd"/>
      <w:r w:rsidRPr="000C1C20">
        <w:t xml:space="preserve"> in </w:t>
      </w:r>
      <w:proofErr w:type="spellStart"/>
      <w:r w:rsidR="00B57981">
        <w:t>A</w:t>
      </w:r>
      <w:r w:rsidRPr="000C1C20">
        <w:t>lbania</w:t>
      </w:r>
      <w:proofErr w:type="spellEnd"/>
      <w:r w:rsidR="0093528A">
        <w:t>. Dostupno na:</w:t>
      </w:r>
    </w:p>
    <w:p w14:paraId="6D0237D7" w14:textId="77777777" w:rsidR="000C1C20" w:rsidRDefault="00BD78E1" w:rsidP="0014331A">
      <w:pPr>
        <w:pStyle w:val="Funotentext"/>
        <w:jc w:val="both"/>
      </w:pPr>
      <w:hyperlink r:id="rId1" w:history="1">
        <w:r w:rsidR="0093528A" w:rsidRPr="00D574FE">
          <w:rPr>
            <w:rStyle w:val="Hyperlink"/>
          </w:rPr>
          <w:t>https://strasbourgobservers.com/2021/06/25/xhoxhaj-v-albania-the-aftermath-of-the-vetting-process-in-albania/</w:t>
        </w:r>
      </w:hyperlink>
      <w:r w:rsidR="00191091">
        <w:t xml:space="preserve">, </w:t>
      </w:r>
      <w:proofErr w:type="spellStart"/>
      <w:r w:rsidR="00191091">
        <w:t>očitanje</w:t>
      </w:r>
      <w:proofErr w:type="spellEnd"/>
      <w:r w:rsidR="00191091">
        <w:t xml:space="preserve"> 17. 05. 2022.</w:t>
      </w:r>
    </w:p>
  </w:footnote>
  <w:footnote w:id="3">
    <w:p w14:paraId="728D36AF" w14:textId="27AADE7F" w:rsidR="00937778" w:rsidRDefault="00937778" w:rsidP="0014331A">
      <w:pPr>
        <w:pStyle w:val="Funotentext"/>
        <w:jc w:val="both"/>
      </w:pPr>
      <w:r>
        <w:rPr>
          <w:rStyle w:val="Funotenzeichen"/>
        </w:rPr>
        <w:footnoteRef/>
      </w:r>
      <w:r>
        <w:t xml:space="preserve"> </w:t>
      </w:r>
      <w:proofErr w:type="spellStart"/>
      <w:r w:rsidRPr="00937778">
        <w:t>Vetting</w:t>
      </w:r>
      <w:proofErr w:type="spellEnd"/>
      <w:r w:rsidRPr="00937778">
        <w:t xml:space="preserve"> procedure u pravosuđu: iskustvo Albanije i </w:t>
      </w:r>
      <w:proofErr w:type="spellStart"/>
      <w:r w:rsidRPr="00937778">
        <w:t>mogućnost</w:t>
      </w:r>
      <w:proofErr w:type="spellEnd"/>
      <w:r w:rsidRPr="00937778">
        <w:t xml:space="preserve"> primjene u BiH, Transparency International BiH;</w:t>
      </w:r>
      <w:r w:rsidR="008D53BE">
        <w:t xml:space="preserve"> </w:t>
      </w:r>
      <w:hyperlink r:id="rId2" w:history="1">
        <w:r w:rsidR="008D53BE" w:rsidRPr="00E14F96">
          <w:rPr>
            <w:rStyle w:val="Hyperlink"/>
          </w:rPr>
          <w:t>https://ti-bih.org/wp-content/uploads/2018/12/Vetting-procedure-u-pravosudju_10.12.2018.pdf</w:t>
        </w:r>
      </w:hyperlink>
      <w:r w:rsidR="008D53BE">
        <w:t xml:space="preserve">. </w:t>
      </w:r>
    </w:p>
  </w:footnote>
  <w:footnote w:id="4">
    <w:p w14:paraId="2E77DEE5" w14:textId="213DA434" w:rsidR="00F66D29" w:rsidRDefault="00F66D29" w:rsidP="0014331A">
      <w:pPr>
        <w:pStyle w:val="Funotentext"/>
        <w:jc w:val="both"/>
      </w:pPr>
      <w:r>
        <w:rPr>
          <w:rStyle w:val="Funotenzeichen"/>
        </w:rPr>
        <w:footnoteRef/>
      </w:r>
      <w:r w:rsidR="00937778">
        <w:t>Ibid</w:t>
      </w:r>
      <w:r w:rsidR="00600CDD">
        <w:t>.</w:t>
      </w:r>
    </w:p>
  </w:footnote>
  <w:footnote w:id="5">
    <w:p w14:paraId="47AED2D4" w14:textId="54D125EC" w:rsidR="001256C5" w:rsidRDefault="001256C5" w:rsidP="0014331A">
      <w:pPr>
        <w:pStyle w:val="Funotentext"/>
        <w:jc w:val="both"/>
      </w:pPr>
      <w:r>
        <w:rPr>
          <w:rStyle w:val="Funotenzeichen"/>
        </w:rPr>
        <w:footnoteRef/>
      </w:r>
      <w:r>
        <w:t xml:space="preserve"> </w:t>
      </w:r>
      <w:bookmarkStart w:id="1" w:name="_Hlk34030736"/>
      <w:r w:rsidRPr="000F0409">
        <w:rPr>
          <w:i/>
        </w:rPr>
        <w:t>Sl. gl. BiH</w:t>
      </w:r>
      <w:r w:rsidRPr="000F0409">
        <w:t xml:space="preserve"> 25/04, 93/05, 48/07 i 15/08</w:t>
      </w:r>
      <w:bookmarkEnd w:id="1"/>
      <w:r w:rsidR="00600CDD">
        <w:t>.</w:t>
      </w:r>
    </w:p>
  </w:footnote>
  <w:footnote w:id="6">
    <w:p w14:paraId="18DAEE7A" w14:textId="76A8B010" w:rsidR="00A328D3" w:rsidRDefault="00A328D3" w:rsidP="0014331A">
      <w:pPr>
        <w:pStyle w:val="Funotentext"/>
        <w:jc w:val="both"/>
      </w:pPr>
      <w:r>
        <w:rPr>
          <w:rStyle w:val="Funotenzeichen"/>
        </w:rPr>
        <w:footnoteRef/>
      </w:r>
      <w:r>
        <w:t xml:space="preserve"> </w:t>
      </w:r>
      <w:r w:rsidRPr="00A328D3">
        <w:t>Čl. 88 st. 1</w:t>
      </w:r>
      <w:r>
        <w:t xml:space="preserve"> Zakona o VSTV-u</w:t>
      </w:r>
      <w:r w:rsidR="00600CDD">
        <w:t>.</w:t>
      </w:r>
    </w:p>
  </w:footnote>
  <w:footnote w:id="7">
    <w:p w14:paraId="21FB8188" w14:textId="77777777" w:rsidR="00527C60" w:rsidRDefault="00527C60" w:rsidP="004B3ACE">
      <w:pPr>
        <w:pStyle w:val="Funotentext"/>
        <w:jc w:val="both"/>
      </w:pPr>
      <w:r>
        <w:rPr>
          <w:rStyle w:val="Funotenzeichen"/>
        </w:rPr>
        <w:footnoteRef/>
      </w:r>
      <w:r>
        <w:t xml:space="preserve"> Posebna je tema jedna od temeljnih manjkavosti ovog zakonskog rješenja: </w:t>
      </w:r>
      <w:proofErr w:type="spellStart"/>
      <w:r>
        <w:t>nemogućnost</w:t>
      </w:r>
      <w:proofErr w:type="spellEnd"/>
      <w:r>
        <w:t xml:space="preserve"> da sudija, odnosno tužilac budu razriješeni zbog </w:t>
      </w:r>
      <w:proofErr w:type="spellStart"/>
      <w:r>
        <w:t>nekompetetnosti</w:t>
      </w:r>
      <w:proofErr w:type="spellEnd"/>
      <w:r>
        <w:t xml:space="preserve">, koja se </w:t>
      </w:r>
      <w:proofErr w:type="spellStart"/>
      <w:r>
        <w:t>manifestuje</w:t>
      </w:r>
      <w:proofErr w:type="spellEnd"/>
      <w:r>
        <w:t xml:space="preserve"> u lošim ostvarenim radnim rezultatima i ocjeni rada.</w:t>
      </w:r>
    </w:p>
  </w:footnote>
  <w:footnote w:id="8">
    <w:p w14:paraId="48A5159F" w14:textId="77777777" w:rsidR="00295D63" w:rsidRDefault="00295D63" w:rsidP="0014331A">
      <w:pPr>
        <w:pStyle w:val="Funotentext"/>
        <w:jc w:val="both"/>
      </w:pPr>
      <w:r>
        <w:rPr>
          <w:rStyle w:val="Funotenzeichen"/>
        </w:rPr>
        <w:footnoteRef/>
      </w:r>
      <w:r>
        <w:t xml:space="preserve"> Npr. čl. 50 st. 1. tačka k) Zakon</w:t>
      </w:r>
      <w:r w:rsidR="00653FF9">
        <w:t>a</w:t>
      </w:r>
      <w:r>
        <w:t xml:space="preserve"> o državnoj službi BiH </w:t>
      </w:r>
      <w:r w:rsidR="00653FF9">
        <w:t>(</w:t>
      </w:r>
      <w:proofErr w:type="spellStart"/>
      <w:r w:rsidR="00653FF9" w:rsidRPr="00836611">
        <w:rPr>
          <w:i/>
          <w:iCs/>
        </w:rPr>
        <w:t>Sl.gl.BiH</w:t>
      </w:r>
      <w:proofErr w:type="spellEnd"/>
      <w:r w:rsidR="00653FF9">
        <w:t xml:space="preserve"> </w:t>
      </w:r>
      <w:r w:rsidR="00653FF9" w:rsidRPr="00836611">
        <w:t>19/02, 35/03, 4/04, 17/04, 26/04, 37/04, 48/05, 2/06, 32/07, 43/09, 8/10, 40/12 i 93/17</w:t>
      </w:r>
      <w:r w:rsidR="00653FF9">
        <w:t xml:space="preserve">) </w:t>
      </w:r>
      <w:r>
        <w:t xml:space="preserve">propisano je da </w:t>
      </w:r>
      <w:r w:rsidR="00653FF9">
        <w:t>radni odnos državnom službeniku prestaje „</w:t>
      </w:r>
      <w:r w:rsidR="00653FF9" w:rsidRPr="00653FF9">
        <w:t>ako je osuđen za krivično djelo zbog kojeg se upućuje na izdržavanje kazne zatvora u trajanju dužem od šest mjeseci</w:t>
      </w:r>
      <w:r w:rsidR="00653FF9">
        <w:t>“.</w:t>
      </w:r>
    </w:p>
  </w:footnote>
  <w:footnote w:id="9">
    <w:p w14:paraId="003B5F17" w14:textId="77777777" w:rsidR="00437165" w:rsidRDefault="00437165" w:rsidP="0014331A">
      <w:pPr>
        <w:pStyle w:val="Funotentext"/>
        <w:jc w:val="both"/>
      </w:pPr>
      <w:r>
        <w:rPr>
          <w:rStyle w:val="Funotenzeichen"/>
        </w:rPr>
        <w:footnoteRef/>
      </w:r>
      <w:r>
        <w:t xml:space="preserve"> </w:t>
      </w:r>
      <w:r w:rsidRPr="00437165">
        <w:rPr>
          <w:i/>
          <w:iCs/>
        </w:rPr>
        <w:t>Sl.gl. BiH</w:t>
      </w:r>
      <w:r>
        <w:t xml:space="preserve"> </w:t>
      </w:r>
      <w:r w:rsidRPr="00447E36">
        <w:rPr>
          <w:lang w:val="pl-PL"/>
        </w:rPr>
        <w:t>55/13, 96/13, 46/14, 61/14, 78/14, 27/15, 46/15, 93/16, 48/17, 88/17, 41/18, 64/18, 12/21, 26/21, 35/21, 68/21 i 1/22</w:t>
      </w:r>
    </w:p>
  </w:footnote>
  <w:footnote w:id="10">
    <w:p w14:paraId="00BB9F2B" w14:textId="77777777" w:rsidR="00AD0A0A" w:rsidRDefault="00AD0A0A" w:rsidP="0014331A">
      <w:pPr>
        <w:pStyle w:val="Funotentext"/>
        <w:jc w:val="both"/>
      </w:pPr>
      <w:r>
        <w:rPr>
          <w:rStyle w:val="Funotenzeichen"/>
        </w:rPr>
        <w:footnoteRef/>
      </w:r>
      <w:r>
        <w:t xml:space="preserve"> Dostupne na linku: </w:t>
      </w:r>
      <w:r w:rsidRPr="00447E36">
        <w:t>https://portalfo1.pravosudje.ba/vstvfo-api/vijest/download/47779</w:t>
      </w:r>
    </w:p>
  </w:footnote>
  <w:footnote w:id="11">
    <w:p w14:paraId="38D5F5BC" w14:textId="58A98B79" w:rsidR="0006699E" w:rsidRDefault="0006699E">
      <w:pPr>
        <w:pStyle w:val="Funotentext"/>
      </w:pPr>
      <w:r>
        <w:rPr>
          <w:rStyle w:val="Funotenzeichen"/>
        </w:rPr>
        <w:footnoteRef/>
      </w:r>
      <w:r>
        <w:t xml:space="preserve"> Odluka br. </w:t>
      </w:r>
      <w:r>
        <w:t>04-07-6-1752-6/2018 od 29.</w:t>
      </w:r>
      <w:r w:rsidR="00F16B2A">
        <w:t xml:space="preserve"> 0</w:t>
      </w:r>
      <w:r>
        <w:t>8.</w:t>
      </w:r>
      <w:r w:rsidR="00F16B2A">
        <w:t xml:space="preserve"> </w:t>
      </w:r>
      <w:r>
        <w:t xml:space="preserve">2018. </w:t>
      </w:r>
    </w:p>
  </w:footnote>
  <w:footnote w:id="12">
    <w:p w14:paraId="03410F98" w14:textId="75A75106" w:rsidR="0006699E" w:rsidRDefault="0006699E">
      <w:pPr>
        <w:pStyle w:val="Funotentext"/>
      </w:pPr>
      <w:r>
        <w:rPr>
          <w:rStyle w:val="Funotenzeichen"/>
        </w:rPr>
        <w:footnoteRef/>
      </w:r>
      <w:r>
        <w:t xml:space="preserve"> Odluka br. </w:t>
      </w:r>
      <w:r>
        <w:t xml:space="preserve">04-07-6-1752-10/2018 od </w:t>
      </w:r>
      <w:r w:rsidR="00F16B2A">
        <w:t>0</w:t>
      </w:r>
      <w:r>
        <w:t>6.</w:t>
      </w:r>
      <w:r w:rsidR="00F16B2A">
        <w:t xml:space="preserve"> </w:t>
      </w:r>
      <w:r>
        <w:t>12.</w:t>
      </w:r>
      <w:r w:rsidR="00F16B2A">
        <w:t xml:space="preserve"> </w:t>
      </w:r>
      <w:r>
        <w:t xml:space="preserve">2018. </w:t>
      </w:r>
    </w:p>
  </w:footnote>
  <w:footnote w:id="13">
    <w:p w14:paraId="71FFEE4B" w14:textId="77777777" w:rsidR="00D6346C" w:rsidRDefault="00D6346C" w:rsidP="00D6346C">
      <w:pPr>
        <w:pStyle w:val="Funotentext"/>
      </w:pPr>
      <w:r>
        <w:rPr>
          <w:rStyle w:val="Funotenzeichen"/>
        </w:rPr>
        <w:footnoteRef/>
      </w:r>
      <w:r>
        <w:t xml:space="preserve"> </w:t>
      </w:r>
      <w:r w:rsidRPr="00D31A18">
        <w:t>Citati iz odluka su preuzeti u izvornom obliku, bez stilskih ili gramatičkih korekcija.</w:t>
      </w:r>
    </w:p>
  </w:footnote>
  <w:footnote w:id="14">
    <w:p w14:paraId="0265964F" w14:textId="46D9D4FE" w:rsidR="00D31A18" w:rsidRDefault="00D31A18">
      <w:pPr>
        <w:pStyle w:val="Funotentext"/>
      </w:pPr>
      <w:r>
        <w:rPr>
          <w:rStyle w:val="Funotenzeichen"/>
        </w:rPr>
        <w:footnoteRef/>
      </w:r>
      <w:r>
        <w:t xml:space="preserve"> Odluka br. 04-07-6-226-2/2019 od 13.</w:t>
      </w:r>
      <w:r w:rsidR="00D96821">
        <w:t xml:space="preserve"> 0</w:t>
      </w:r>
      <w:r>
        <w:t>2.</w:t>
      </w:r>
      <w:r w:rsidR="00D96821">
        <w:t xml:space="preserve"> </w:t>
      </w:r>
      <w:r>
        <w:t xml:space="preserve">2019. </w:t>
      </w:r>
    </w:p>
  </w:footnote>
  <w:footnote w:id="15">
    <w:p w14:paraId="0E43FDD7" w14:textId="5F51A8F3" w:rsidR="008440FA" w:rsidRDefault="008440FA">
      <w:pPr>
        <w:pStyle w:val="Funotentext"/>
      </w:pPr>
      <w:r>
        <w:rPr>
          <w:rStyle w:val="Funotenzeichen"/>
        </w:rPr>
        <w:footnoteRef/>
      </w:r>
      <w:r>
        <w:t xml:space="preserve"> Odluka br. 04-07</w:t>
      </w:r>
      <w:r w:rsidR="00E547CB">
        <w:t xml:space="preserve"> </w:t>
      </w:r>
      <w:r>
        <w:t xml:space="preserve">-6-71-14/2019 od </w:t>
      </w:r>
      <w:r w:rsidR="00D96821">
        <w:t>0</w:t>
      </w:r>
      <w:r>
        <w:t>3.</w:t>
      </w:r>
      <w:r w:rsidR="00D96821">
        <w:t xml:space="preserve"> 0</w:t>
      </w:r>
      <w:r>
        <w:t>6.</w:t>
      </w:r>
      <w:r w:rsidR="00D96821">
        <w:t xml:space="preserve"> </w:t>
      </w:r>
      <w:r>
        <w:t xml:space="preserve">2019. </w:t>
      </w:r>
    </w:p>
  </w:footnote>
  <w:footnote w:id="16">
    <w:p w14:paraId="616DC9DE" w14:textId="276805FC" w:rsidR="00C12DBE" w:rsidRDefault="00C12DBE">
      <w:pPr>
        <w:pStyle w:val="Funotentext"/>
      </w:pPr>
      <w:r>
        <w:rPr>
          <w:rStyle w:val="Funotenzeichen"/>
        </w:rPr>
        <w:footnoteRef/>
      </w:r>
      <w:r>
        <w:t xml:space="preserve"> </w:t>
      </w:r>
      <w:r w:rsidR="00B20A8E">
        <w:t xml:space="preserve">Disciplinska tužba br. </w:t>
      </w:r>
      <w:r>
        <w:t>UDT DD 009129 19</w:t>
      </w:r>
      <w:r w:rsidR="00B20A8E">
        <w:t xml:space="preserve"> od</w:t>
      </w:r>
      <w:r>
        <w:t xml:space="preserve"> 16.</w:t>
      </w:r>
      <w:r w:rsidR="00D96821">
        <w:t xml:space="preserve"> 0</w:t>
      </w:r>
      <w:r>
        <w:t>4.</w:t>
      </w:r>
      <w:r w:rsidR="00D96821">
        <w:t xml:space="preserve"> </w:t>
      </w:r>
      <w:r>
        <w:t xml:space="preserve">2019. </w:t>
      </w:r>
    </w:p>
  </w:footnote>
  <w:footnote w:id="17">
    <w:p w14:paraId="4BE6334C" w14:textId="4C84FDCE" w:rsidR="00A64FBB" w:rsidRDefault="00A64FBB" w:rsidP="00F83640">
      <w:pPr>
        <w:pStyle w:val="Funotentext"/>
        <w:jc w:val="both"/>
      </w:pPr>
      <w:r>
        <w:rPr>
          <w:rStyle w:val="Funotenzeichen"/>
        </w:rPr>
        <w:footnoteRef/>
      </w:r>
      <w:r>
        <w:t xml:space="preserve"> Postoje veliki broj medijskih izvještaja o ovom predmetu koje autor ne želi navesti jer sadrže imena </w:t>
      </w:r>
      <w:proofErr w:type="spellStart"/>
      <w:r>
        <w:t>pomenutih</w:t>
      </w:r>
      <w:proofErr w:type="spellEnd"/>
      <w:r>
        <w:t xml:space="preserve"> nosilaca pravosudne funkcije, čime bi se izgubila svrha </w:t>
      </w:r>
      <w:proofErr w:type="spellStart"/>
      <w:r>
        <w:t>anonimiziranja</w:t>
      </w:r>
      <w:proofErr w:type="spellEnd"/>
      <w:r>
        <w:t xml:space="preserve">. </w:t>
      </w:r>
    </w:p>
  </w:footnote>
  <w:footnote w:id="18">
    <w:p w14:paraId="594AC8CB" w14:textId="3375E2A7" w:rsidR="00B20A8E" w:rsidRDefault="00B20A8E">
      <w:pPr>
        <w:pStyle w:val="Funotentext"/>
      </w:pPr>
      <w:r>
        <w:rPr>
          <w:rStyle w:val="Funotenzeichen"/>
        </w:rPr>
        <w:footnoteRef/>
      </w:r>
      <w:r>
        <w:t xml:space="preserve"> Odluk</w:t>
      </w:r>
      <w:r w:rsidR="000860B2">
        <w:t>a</w:t>
      </w:r>
      <w:r>
        <w:t xml:space="preserve"> br. 04-07-6-1513-6/2019 od </w:t>
      </w:r>
      <w:r w:rsidR="00D96821">
        <w:t>0</w:t>
      </w:r>
      <w:r>
        <w:t>6.</w:t>
      </w:r>
      <w:r w:rsidR="00D96821">
        <w:t xml:space="preserve"> 0</w:t>
      </w:r>
      <w:r>
        <w:t>8.</w:t>
      </w:r>
      <w:r w:rsidR="00D96821">
        <w:t xml:space="preserve"> </w:t>
      </w:r>
      <w:r>
        <w:t>2019.</w:t>
      </w:r>
    </w:p>
  </w:footnote>
  <w:footnote w:id="19">
    <w:p w14:paraId="2505F9F3" w14:textId="0DC4A644" w:rsidR="005C7ED6" w:rsidRDefault="005C7ED6" w:rsidP="00007163">
      <w:pPr>
        <w:pStyle w:val="Funotentext"/>
        <w:jc w:val="both"/>
      </w:pPr>
      <w:r>
        <w:rPr>
          <w:rStyle w:val="Funotenzeichen"/>
        </w:rPr>
        <w:footnoteRef/>
      </w:r>
      <w:r>
        <w:t xml:space="preserve"> </w:t>
      </w:r>
      <w:r w:rsidR="00254959">
        <w:t xml:space="preserve">Npr. odlukom br. 04-02-6649-3/09 od 2.10.2009. </w:t>
      </w:r>
      <w:r w:rsidR="00254959">
        <w:t xml:space="preserve">sudija je oglašen odgovornim što je obavljao funkciju člana Izvršnog odbora Nogometnog saveza BiH, </w:t>
      </w:r>
      <w:r w:rsidR="00BF0442">
        <w:t>što je kao</w:t>
      </w:r>
      <w:r w:rsidR="00254959">
        <w:t xml:space="preserve"> aktivnost je nesp</w:t>
      </w:r>
      <w:r w:rsidR="00007163">
        <w:t>o</w:t>
      </w:r>
      <w:r w:rsidR="00254959">
        <w:t>jiva sa sudijskom funkcijom</w:t>
      </w:r>
      <w:r w:rsidR="00007163">
        <w:t xml:space="preserve"> (</w:t>
      </w:r>
      <w:r w:rsidR="00F16B2A">
        <w:t>č</w:t>
      </w:r>
      <w:r w:rsidR="00007163">
        <w:t>l. 83 st. 3 Zakona o VSTV-u: „</w:t>
      </w:r>
      <w:r w:rsidR="00007163" w:rsidRPr="00007163">
        <w:rPr>
          <w:i/>
          <w:iCs/>
        </w:rPr>
        <w:t xml:space="preserve">Sudija ili tužilac ne smije biti član upravnog ili nadzornog odbora javnih ili privatnih </w:t>
      </w:r>
      <w:proofErr w:type="spellStart"/>
      <w:r w:rsidR="00007163" w:rsidRPr="00007163">
        <w:rPr>
          <w:i/>
          <w:iCs/>
        </w:rPr>
        <w:t>preduzeća</w:t>
      </w:r>
      <w:proofErr w:type="spellEnd"/>
      <w:r w:rsidR="00007163" w:rsidRPr="00007163">
        <w:rPr>
          <w:i/>
          <w:iCs/>
        </w:rPr>
        <w:t>, ili drugih pravnih osoba</w:t>
      </w:r>
      <w:r w:rsidR="00007163">
        <w:t>“)</w:t>
      </w:r>
      <w:r w:rsidR="00254959">
        <w:t xml:space="preserve"> i ostvario prihode koje nije prijavio u više godišnjih finansijskih izvještaja.</w:t>
      </w:r>
    </w:p>
  </w:footnote>
  <w:footnote w:id="20">
    <w:p w14:paraId="7152AFD3" w14:textId="446A6B4E" w:rsidR="00275894" w:rsidRDefault="00275894">
      <w:pPr>
        <w:pStyle w:val="Funotentext"/>
      </w:pPr>
      <w:r>
        <w:rPr>
          <w:rStyle w:val="Funotenzeichen"/>
        </w:rPr>
        <w:footnoteRef/>
      </w:r>
      <w:r>
        <w:t xml:space="preserve"> U pitanju je odluka Drugostepene disciplinske komisije br. </w:t>
      </w:r>
      <w:r>
        <w:t>11-07-6-1497-25/2021 od 22.</w:t>
      </w:r>
      <w:r w:rsidR="00F16B2A">
        <w:t xml:space="preserve"> 0</w:t>
      </w:r>
      <w:r>
        <w:t>9.</w:t>
      </w:r>
      <w:r w:rsidR="00F16B2A">
        <w:t xml:space="preserve"> </w:t>
      </w:r>
      <w:r>
        <w:t xml:space="preserve">2021. </w:t>
      </w:r>
    </w:p>
  </w:footnote>
  <w:footnote w:id="21">
    <w:p w14:paraId="0C30159C" w14:textId="74B02207" w:rsidR="004C465B" w:rsidRDefault="004C465B">
      <w:pPr>
        <w:pStyle w:val="Funotentext"/>
      </w:pPr>
      <w:r>
        <w:rPr>
          <w:rStyle w:val="Funotenzeichen"/>
        </w:rPr>
        <w:footnoteRef/>
      </w:r>
      <w:r>
        <w:t xml:space="preserve"> Više informacija o samom zakonu i njegovom trenutnom statusu dostupno je na web stranici </w:t>
      </w:r>
      <w:r w:rsidR="009673C2">
        <w:t>P</w:t>
      </w:r>
      <w:r>
        <w:t xml:space="preserve">arlamentarne skupštine BiH: </w:t>
      </w:r>
      <w:hyperlink r:id="rId3" w:history="1">
        <w:r w:rsidR="00D24662" w:rsidRPr="00E14F96">
          <w:rPr>
            <w:rStyle w:val="Hyperlink"/>
          </w:rPr>
          <w:t>https://www.parlament.ba/olaw/OLawDetails?lawId=92598</w:t>
        </w:r>
      </w:hyperlink>
      <w:r w:rsidR="00D24662">
        <w:t xml:space="preserve">. </w:t>
      </w:r>
    </w:p>
  </w:footnote>
  <w:footnote w:id="22">
    <w:p w14:paraId="2BB9C123" w14:textId="2416616D" w:rsidR="00D51FB5" w:rsidRDefault="00D51FB5">
      <w:pPr>
        <w:pStyle w:val="Funotentext"/>
      </w:pPr>
      <w:r>
        <w:rPr>
          <w:rStyle w:val="Funotenzeichen"/>
        </w:rPr>
        <w:footnoteRef/>
      </w:r>
      <w:r>
        <w:t xml:space="preserve"> </w:t>
      </w:r>
      <w:proofErr w:type="spellStart"/>
      <w:r>
        <w:t>Čl</w:t>
      </w:r>
      <w:proofErr w:type="spellEnd"/>
      <w:r>
        <w:t xml:space="preserve"> 86k</w:t>
      </w:r>
      <w:r w:rsidR="0040324D">
        <w:t xml:space="preserve"> </w:t>
      </w:r>
      <w:bookmarkStart w:id="7" w:name="_Hlk103532112"/>
      <w:r w:rsidR="00DF613C" w:rsidRPr="00DF613C">
        <w:t>Prijedlog</w:t>
      </w:r>
      <w:r w:rsidR="00DF613C">
        <w:t>a</w:t>
      </w:r>
      <w:r w:rsidR="00DF613C" w:rsidRPr="00DF613C">
        <w:t xml:space="preserve"> zakona o izmjenama i dopunama Zakona o </w:t>
      </w:r>
      <w:r w:rsidR="00DF613C">
        <w:t>VSTV</w:t>
      </w:r>
      <w:bookmarkEnd w:id="7"/>
      <w:r w:rsidR="00D24662">
        <w:t>.</w:t>
      </w:r>
    </w:p>
  </w:footnote>
  <w:footnote w:id="23">
    <w:p w14:paraId="10332FCA" w14:textId="09A4683F" w:rsidR="00B3486A" w:rsidRDefault="00B3486A">
      <w:pPr>
        <w:pStyle w:val="Funotentext"/>
      </w:pPr>
      <w:r>
        <w:rPr>
          <w:rStyle w:val="Funotenzeichen"/>
        </w:rPr>
        <w:footnoteRef/>
      </w:r>
      <w:r>
        <w:t xml:space="preserve"> Čl. 86</w:t>
      </w:r>
      <w:r w:rsidR="00DF613C">
        <w:t xml:space="preserve"> </w:t>
      </w:r>
      <w:r w:rsidR="00DF613C" w:rsidRPr="00DF613C">
        <w:t>Prijedloga zakona o izmjenama i dopunama Zakona o VSTV</w:t>
      </w:r>
      <w:r w:rsidR="00D24662">
        <w:t>.</w:t>
      </w:r>
    </w:p>
  </w:footnote>
  <w:footnote w:id="24">
    <w:p w14:paraId="16BD0438" w14:textId="442536EF" w:rsidR="00B3486A" w:rsidRDefault="00B3486A">
      <w:pPr>
        <w:pStyle w:val="Funotentext"/>
      </w:pPr>
      <w:r>
        <w:rPr>
          <w:rStyle w:val="Funotenzeichen"/>
        </w:rPr>
        <w:footnoteRef/>
      </w:r>
      <w:r>
        <w:t xml:space="preserve"> </w:t>
      </w:r>
      <w:r w:rsidRPr="00B3486A">
        <w:t>Čl. 86b st. 2</w:t>
      </w:r>
      <w:r w:rsidR="00DF613C">
        <w:t xml:space="preserve"> </w:t>
      </w:r>
      <w:r w:rsidR="00DF613C" w:rsidRPr="00DF613C">
        <w:t>Prijedloga zakona o izmjenama i dopunama Zakona o VSTV</w:t>
      </w:r>
      <w:r w:rsidR="00D24662">
        <w:t>.</w:t>
      </w:r>
    </w:p>
  </w:footnote>
  <w:footnote w:id="25">
    <w:p w14:paraId="6C5795C8" w14:textId="033FDD9B" w:rsidR="00B3486A" w:rsidRDefault="00B3486A">
      <w:pPr>
        <w:pStyle w:val="Funotentext"/>
      </w:pPr>
      <w:r>
        <w:rPr>
          <w:rStyle w:val="Funotenzeichen"/>
        </w:rPr>
        <w:footnoteRef/>
      </w:r>
      <w:r>
        <w:t xml:space="preserve"> Čl</w:t>
      </w:r>
      <w:r w:rsidRPr="00B3486A">
        <w:t>. 86c st. 1 tačka c</w:t>
      </w:r>
      <w:r w:rsidR="00264A41">
        <w:t>)</w:t>
      </w:r>
      <w:r w:rsidR="00DF613C">
        <w:t xml:space="preserve"> </w:t>
      </w:r>
      <w:r w:rsidR="00DF613C" w:rsidRPr="00DF613C">
        <w:t>Prijedloga zakona o izmjenama i dopunama Zakona o VSTV</w:t>
      </w:r>
      <w:r w:rsidR="00D24662">
        <w:t>.</w:t>
      </w:r>
    </w:p>
  </w:footnote>
  <w:footnote w:id="26">
    <w:p w14:paraId="771A17C2" w14:textId="4173A607" w:rsidR="001E565F" w:rsidRDefault="001E565F">
      <w:pPr>
        <w:pStyle w:val="Funotentext"/>
      </w:pPr>
      <w:r>
        <w:rPr>
          <w:rStyle w:val="Funotenzeichen"/>
        </w:rPr>
        <w:footnoteRef/>
      </w:r>
      <w:r>
        <w:t xml:space="preserve"> Čl. 86f i 86h</w:t>
      </w:r>
      <w:r w:rsidR="00DF613C">
        <w:t xml:space="preserve"> </w:t>
      </w:r>
      <w:r w:rsidR="00DF613C" w:rsidRPr="00DF613C">
        <w:t>Prijedloga zakona o izmjenama i dopunama Zakona o VSTV</w:t>
      </w:r>
      <w:r w:rsidR="00995796">
        <w:t>.</w:t>
      </w:r>
    </w:p>
  </w:footnote>
  <w:footnote w:id="27">
    <w:p w14:paraId="3F0E624A" w14:textId="0CB53CC7" w:rsidR="001E565F" w:rsidRDefault="001E565F">
      <w:pPr>
        <w:pStyle w:val="Funotentext"/>
      </w:pPr>
      <w:r>
        <w:rPr>
          <w:rStyle w:val="Funotenzeichen"/>
        </w:rPr>
        <w:footnoteRef/>
      </w:r>
      <w:r>
        <w:t xml:space="preserve"> </w:t>
      </w:r>
      <w:r w:rsidR="00914BA7">
        <w:t>Čl. 86c st. 8</w:t>
      </w:r>
      <w:r w:rsidR="00DF613C">
        <w:t xml:space="preserve"> </w:t>
      </w:r>
      <w:r w:rsidR="00DF613C" w:rsidRPr="00DF613C">
        <w:t>Prijedloga zakona o izmjenama i dopunama Zakona o VSTV</w:t>
      </w:r>
      <w:r w:rsidR="00995796">
        <w:t>.</w:t>
      </w:r>
    </w:p>
  </w:footnote>
  <w:footnote w:id="28">
    <w:p w14:paraId="25DD919E" w14:textId="1FE956CB" w:rsidR="00914BA7" w:rsidRDefault="00914BA7">
      <w:pPr>
        <w:pStyle w:val="Funotentext"/>
      </w:pPr>
      <w:r>
        <w:rPr>
          <w:rStyle w:val="Funotenzeichen"/>
        </w:rPr>
        <w:footnoteRef/>
      </w:r>
      <w:r>
        <w:t xml:space="preserve"> Čl. 86d st. </w:t>
      </w:r>
      <w:r w:rsidR="00365DAE">
        <w:t>4 i 5</w:t>
      </w:r>
      <w:r w:rsidR="00995796">
        <w:t>.</w:t>
      </w:r>
    </w:p>
  </w:footnote>
  <w:footnote w:id="29">
    <w:p w14:paraId="402820FB" w14:textId="55B35B93" w:rsidR="004976D6" w:rsidRDefault="004976D6">
      <w:pPr>
        <w:pStyle w:val="Funotentext"/>
      </w:pPr>
      <w:r>
        <w:rPr>
          <w:rStyle w:val="Funotenzeichen"/>
        </w:rPr>
        <w:footnoteRef/>
      </w:r>
      <w:r>
        <w:t xml:space="preserve"> </w:t>
      </w:r>
      <w:proofErr w:type="spellStart"/>
      <w:r w:rsidRPr="004976D6">
        <w:rPr>
          <w:i/>
          <w:iCs/>
        </w:rPr>
        <w:t>Sl.gl.BiH</w:t>
      </w:r>
      <w:proofErr w:type="spellEnd"/>
      <w:r w:rsidRPr="004976D6">
        <w:rPr>
          <w:i/>
          <w:iCs/>
        </w:rPr>
        <w:t xml:space="preserve"> </w:t>
      </w:r>
      <w:r w:rsidRPr="00995796">
        <w:t>54/05 i 12/09</w:t>
      </w:r>
      <w:r w:rsidR="00995796" w:rsidRPr="00995796">
        <w:t>.</w:t>
      </w:r>
    </w:p>
  </w:footnote>
  <w:footnote w:id="30">
    <w:p w14:paraId="5E861B11" w14:textId="5CCCE839" w:rsidR="00CA5B5D" w:rsidRDefault="00CA5B5D">
      <w:pPr>
        <w:pStyle w:val="Funotentext"/>
      </w:pPr>
      <w:r>
        <w:rPr>
          <w:rStyle w:val="Funotenzeichen"/>
        </w:rPr>
        <w:footnoteRef/>
      </w:r>
      <w:r>
        <w:t xml:space="preserve"> </w:t>
      </w:r>
      <w:proofErr w:type="spellStart"/>
      <w:r w:rsidRPr="004976D6">
        <w:rPr>
          <w:i/>
          <w:iCs/>
        </w:rPr>
        <w:t>Sl.gl.BiH</w:t>
      </w:r>
      <w:proofErr w:type="spellEnd"/>
      <w:r w:rsidRPr="004976D6">
        <w:rPr>
          <w:i/>
          <w:iCs/>
        </w:rPr>
        <w:t xml:space="preserve"> </w:t>
      </w:r>
      <w:r w:rsidRPr="00995796">
        <w:t>97/06</w:t>
      </w:r>
      <w:r w:rsidR="00995796" w:rsidRPr="00995796">
        <w:t>.</w:t>
      </w:r>
    </w:p>
  </w:footnote>
  <w:footnote w:id="31">
    <w:p w14:paraId="59C94BDE" w14:textId="358F5DB2" w:rsidR="002245EC" w:rsidRDefault="002245EC">
      <w:pPr>
        <w:pStyle w:val="Funotentext"/>
      </w:pPr>
      <w:r>
        <w:rPr>
          <w:rStyle w:val="Funotenzeichen"/>
        </w:rPr>
        <w:footnoteRef/>
      </w:r>
      <w:r>
        <w:t xml:space="preserve"> Čl. 38 Zakona o zaštiti tajnih podataka</w:t>
      </w:r>
      <w:r w:rsidR="002A7E14">
        <w:t>.</w:t>
      </w:r>
      <w:r>
        <w:t xml:space="preserve"> </w:t>
      </w:r>
    </w:p>
  </w:footnote>
  <w:footnote w:id="32">
    <w:p w14:paraId="1A7064AF" w14:textId="580A45D6" w:rsidR="002245EC" w:rsidRDefault="002245EC">
      <w:pPr>
        <w:pStyle w:val="Funotentext"/>
      </w:pPr>
      <w:r>
        <w:rPr>
          <w:rStyle w:val="Funotenzeichen"/>
        </w:rPr>
        <w:footnoteRef/>
      </w:r>
      <w:r>
        <w:t xml:space="preserve"> Čl. 49-51</w:t>
      </w:r>
      <w:r w:rsidR="00192A3C">
        <w:t xml:space="preserve"> </w:t>
      </w:r>
      <w:r w:rsidR="00192A3C" w:rsidRPr="00192A3C">
        <w:t>Zakona o zaštiti tajnih podataka</w:t>
      </w:r>
      <w:r w:rsidR="002A7E14">
        <w:t>.</w:t>
      </w:r>
    </w:p>
  </w:footnote>
  <w:footnote w:id="33">
    <w:p w14:paraId="64D349AA" w14:textId="1D260A38" w:rsidR="008D094C" w:rsidRDefault="008D094C">
      <w:pPr>
        <w:pStyle w:val="Funotentext"/>
      </w:pPr>
      <w:r>
        <w:rPr>
          <w:rStyle w:val="Funotenzeichen"/>
        </w:rPr>
        <w:footnoteRef/>
      </w:r>
      <w:r>
        <w:t xml:space="preserve"> Čl. 30 st. 4 Zakona o zaštiti tajnih podataka</w:t>
      </w:r>
      <w:r w:rsidR="002A7E14">
        <w:t>.</w:t>
      </w:r>
    </w:p>
  </w:footnote>
  <w:footnote w:id="34">
    <w:p w14:paraId="18BDF286" w14:textId="5762DA43" w:rsidR="008D094C" w:rsidRDefault="008D094C">
      <w:pPr>
        <w:pStyle w:val="Funotentext"/>
      </w:pPr>
      <w:r>
        <w:rPr>
          <w:rStyle w:val="Funotenzeichen"/>
        </w:rPr>
        <w:footnoteRef/>
      </w:r>
      <w:r>
        <w:t xml:space="preserve"> </w:t>
      </w:r>
      <w:bookmarkStart w:id="9" w:name="_Hlk103522502"/>
      <w:r>
        <w:t>Čl. 33 st. 2 Zakona o zaštiti tajnih podataka</w:t>
      </w:r>
      <w:bookmarkEnd w:id="9"/>
      <w:r w:rsidR="002A7E14">
        <w:t>.</w:t>
      </w:r>
    </w:p>
  </w:footnote>
  <w:footnote w:id="35">
    <w:p w14:paraId="4A0DCA82" w14:textId="065C26F7" w:rsidR="00192A3C" w:rsidRDefault="00192A3C">
      <w:pPr>
        <w:pStyle w:val="Funotentext"/>
      </w:pPr>
      <w:r>
        <w:rPr>
          <w:rStyle w:val="Funotenzeichen"/>
        </w:rPr>
        <w:footnoteRef/>
      </w:r>
      <w:r>
        <w:t xml:space="preserve"> </w:t>
      </w:r>
      <w:r w:rsidRPr="00192A3C">
        <w:t>Čl. 33 st. 2 Zakona o zaštiti tajnih podataka</w:t>
      </w:r>
      <w:r w:rsidR="002A7E14">
        <w:t>.</w:t>
      </w:r>
    </w:p>
  </w:footnote>
  <w:footnote w:id="36">
    <w:p w14:paraId="0E1EB02D" w14:textId="18ECE4E0" w:rsidR="00A771BC" w:rsidRDefault="00A771BC">
      <w:pPr>
        <w:pStyle w:val="Funotentext"/>
      </w:pPr>
      <w:r>
        <w:rPr>
          <w:rStyle w:val="Funotenzeichen"/>
        </w:rPr>
        <w:footnoteRef/>
      </w:r>
      <w:r>
        <w:t xml:space="preserve"> Čl. </w:t>
      </w:r>
      <w:r w:rsidR="00EF204F">
        <w:t>31 Zakona o zaštiti tajnih podataka</w:t>
      </w:r>
      <w:r w:rsidR="0067268B">
        <w:t>.</w:t>
      </w:r>
    </w:p>
  </w:footnote>
  <w:footnote w:id="37">
    <w:p w14:paraId="4A5964BF" w14:textId="53151687" w:rsidR="00690E92" w:rsidRDefault="00690E92">
      <w:pPr>
        <w:pStyle w:val="Funotentext"/>
      </w:pPr>
      <w:r>
        <w:rPr>
          <w:rStyle w:val="Funotenzeichen"/>
        </w:rPr>
        <w:footnoteRef/>
      </w:r>
      <w:r>
        <w:t xml:space="preserve"> Čl. 32 Zakona o zaštiti tajnih podataka</w:t>
      </w:r>
      <w:r w:rsidR="0067268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B8E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A17BD"/>
    <w:multiLevelType w:val="hybridMultilevel"/>
    <w:tmpl w:val="C4C09F66"/>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F7155A"/>
    <w:multiLevelType w:val="multilevel"/>
    <w:tmpl w:val="3EBC0086"/>
    <w:lvl w:ilvl="0">
      <w:start w:val="1"/>
      <w:numFmt w:val="decimal"/>
      <w:suff w:val="space"/>
      <w:lvlText w:val="%1."/>
      <w:lvlJc w:val="left"/>
      <w:pPr>
        <w:ind w:left="720" w:hanging="72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1996" w:hanging="1996"/>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F2DE5"/>
    <w:multiLevelType w:val="hybridMultilevel"/>
    <w:tmpl w:val="22BCE7DE"/>
    <w:lvl w:ilvl="0" w:tplc="D1C4F924">
      <w:start w:val="1"/>
      <w:numFmt w:val="decimal"/>
      <w:lvlText w:val="%1."/>
      <w:lvlJc w:val="left"/>
      <w:pPr>
        <w:tabs>
          <w:tab w:val="num" w:pos="360"/>
        </w:tabs>
        <w:ind w:left="360" w:hanging="360"/>
      </w:pPr>
      <w:rPr>
        <w:rFonts w:hint="default"/>
        <w:b w:val="0"/>
        <w:i w:val="0"/>
      </w:rPr>
    </w:lvl>
    <w:lvl w:ilvl="1" w:tplc="62CEEF84">
      <w:start w:val="1"/>
      <w:numFmt w:val="upperRoman"/>
      <w:lvlText w:val="%2."/>
      <w:lvlJc w:val="left"/>
      <w:pPr>
        <w:tabs>
          <w:tab w:val="num" w:pos="1800"/>
        </w:tabs>
        <w:ind w:left="1800" w:hanging="720"/>
      </w:pPr>
      <w:rPr>
        <w:rFonts w:hint="default"/>
      </w:rPr>
    </w:lvl>
    <w:lvl w:ilvl="2" w:tplc="D2DA8874">
      <w:start w:val="1"/>
      <w:numFmt w:val="lowerLetter"/>
      <w:lvlText w:val="%3)"/>
      <w:lvlJc w:val="left"/>
      <w:pPr>
        <w:tabs>
          <w:tab w:val="num" w:pos="2340"/>
        </w:tabs>
        <w:ind w:left="2340" w:hanging="360"/>
      </w:pPr>
      <w:rPr>
        <w:rFonts w:hint="default"/>
      </w:rPr>
    </w:lvl>
    <w:lvl w:ilvl="3" w:tplc="091CD4EC">
      <w:start w:val="1"/>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63163D"/>
    <w:multiLevelType w:val="multilevel"/>
    <w:tmpl w:val="8708C7D0"/>
    <w:lvl w:ilvl="0">
      <w:start w:val="1"/>
      <w:numFmt w:val="decimal"/>
      <w:suff w:val="space"/>
      <w:lvlText w:val="%1."/>
      <w:lvlJc w:val="left"/>
      <w:pPr>
        <w:ind w:left="720" w:hanging="720"/>
      </w:pPr>
      <w:rPr>
        <w:rFonts w:hint="default"/>
        <w:b/>
        <w:bCs/>
      </w:rPr>
    </w:lvl>
    <w:lvl w:ilvl="1">
      <w:start w:val="1"/>
      <w:numFmt w:val="decimal"/>
      <w:isLgl/>
      <w:suff w:val="space"/>
      <w:lvlText w:val="%1.%2."/>
      <w:lvlJc w:val="left"/>
      <w:pPr>
        <w:ind w:left="0" w:firstLine="357"/>
      </w:pPr>
      <w:rPr>
        <w:rFonts w:hint="default"/>
      </w:rPr>
    </w:lvl>
    <w:lvl w:ilvl="2">
      <w:start w:val="1"/>
      <w:numFmt w:val="decimal"/>
      <w:isLgl/>
      <w:suff w:val="space"/>
      <w:lvlText w:val="%1.%2.%3."/>
      <w:lvlJc w:val="left"/>
      <w:pPr>
        <w:ind w:left="1996" w:hanging="1282"/>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590CDE"/>
    <w:multiLevelType w:val="hybridMultilevel"/>
    <w:tmpl w:val="9BAC8CBE"/>
    <w:lvl w:ilvl="0" w:tplc="442A8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20BD1"/>
    <w:multiLevelType w:val="hybridMultilevel"/>
    <w:tmpl w:val="4B1E134A"/>
    <w:lvl w:ilvl="0" w:tplc="8EA856A4">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83EA8"/>
    <w:multiLevelType w:val="hybridMultilevel"/>
    <w:tmpl w:val="9042CDD2"/>
    <w:lvl w:ilvl="0" w:tplc="363CF278">
      <w:start w:val="1"/>
      <w:numFmt w:val="decimal"/>
      <w:lvlText w:val="%1."/>
      <w:lvlJc w:val="left"/>
      <w:pPr>
        <w:tabs>
          <w:tab w:val="num" w:pos="1440"/>
        </w:tabs>
        <w:ind w:left="1440" w:hanging="360"/>
      </w:pPr>
      <w:rPr>
        <w:rFonts w:hint="default"/>
      </w:rPr>
    </w:lvl>
    <w:lvl w:ilvl="1" w:tplc="AC8E39BE">
      <w:start w:val="2"/>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DDF7EEF"/>
    <w:multiLevelType w:val="hybridMultilevel"/>
    <w:tmpl w:val="772647D0"/>
    <w:lvl w:ilvl="0" w:tplc="4DF64C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C70BDA"/>
    <w:multiLevelType w:val="hybridMultilevel"/>
    <w:tmpl w:val="C5BC4278"/>
    <w:lvl w:ilvl="0" w:tplc="7F0A418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4F6D559C"/>
    <w:multiLevelType w:val="hybridMultilevel"/>
    <w:tmpl w:val="861454DE"/>
    <w:lvl w:ilvl="0" w:tplc="A6C69062">
      <w:start w:val="1"/>
      <w:numFmt w:val="decimal"/>
      <w:pStyle w:val="Paragraph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9D72A1"/>
    <w:multiLevelType w:val="hybridMultilevel"/>
    <w:tmpl w:val="80A6BEC6"/>
    <w:lvl w:ilvl="0" w:tplc="04090017">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474666"/>
    <w:multiLevelType w:val="hybridMultilevel"/>
    <w:tmpl w:val="E6CA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D2FD1"/>
    <w:multiLevelType w:val="hybridMultilevel"/>
    <w:tmpl w:val="34CAA074"/>
    <w:lvl w:ilvl="0" w:tplc="A4E6BDC0">
      <w:start w:val="1"/>
      <w:numFmt w:val="lowerLetter"/>
      <w:lvlText w:val="%1)"/>
      <w:lvlJc w:val="left"/>
      <w:pPr>
        <w:tabs>
          <w:tab w:val="num" w:pos="720"/>
        </w:tabs>
        <w:ind w:left="720" w:hanging="360"/>
      </w:pPr>
      <w:rPr>
        <w:rFonts w:hint="default"/>
        <w:b/>
      </w:rPr>
    </w:lvl>
    <w:lvl w:ilvl="1" w:tplc="3AF8B58A"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FF7C0D"/>
    <w:multiLevelType w:val="hybridMultilevel"/>
    <w:tmpl w:val="1A62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873A2"/>
    <w:multiLevelType w:val="hybridMultilevel"/>
    <w:tmpl w:val="4970C7E4"/>
    <w:lvl w:ilvl="0" w:tplc="1F4629C8">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E168EF"/>
    <w:multiLevelType w:val="hybridMultilevel"/>
    <w:tmpl w:val="ADD41B90"/>
    <w:lvl w:ilvl="0" w:tplc="141A000F">
      <w:start w:val="1"/>
      <w:numFmt w:val="decimal"/>
      <w:lvlText w:val="%1."/>
      <w:lvlJc w:val="left"/>
      <w:pPr>
        <w:ind w:left="2705" w:hanging="360"/>
      </w:pPr>
    </w:lvl>
    <w:lvl w:ilvl="1" w:tplc="141A0019" w:tentative="1">
      <w:start w:val="1"/>
      <w:numFmt w:val="lowerLetter"/>
      <w:lvlText w:val="%2."/>
      <w:lvlJc w:val="left"/>
      <w:pPr>
        <w:ind w:left="3425" w:hanging="360"/>
      </w:pPr>
    </w:lvl>
    <w:lvl w:ilvl="2" w:tplc="141A001B" w:tentative="1">
      <w:start w:val="1"/>
      <w:numFmt w:val="lowerRoman"/>
      <w:lvlText w:val="%3."/>
      <w:lvlJc w:val="right"/>
      <w:pPr>
        <w:ind w:left="4145" w:hanging="180"/>
      </w:pPr>
    </w:lvl>
    <w:lvl w:ilvl="3" w:tplc="141A000F" w:tentative="1">
      <w:start w:val="1"/>
      <w:numFmt w:val="decimal"/>
      <w:lvlText w:val="%4."/>
      <w:lvlJc w:val="left"/>
      <w:pPr>
        <w:ind w:left="4865" w:hanging="360"/>
      </w:pPr>
    </w:lvl>
    <w:lvl w:ilvl="4" w:tplc="141A0019" w:tentative="1">
      <w:start w:val="1"/>
      <w:numFmt w:val="lowerLetter"/>
      <w:lvlText w:val="%5."/>
      <w:lvlJc w:val="left"/>
      <w:pPr>
        <w:ind w:left="5585" w:hanging="360"/>
      </w:pPr>
    </w:lvl>
    <w:lvl w:ilvl="5" w:tplc="141A001B" w:tentative="1">
      <w:start w:val="1"/>
      <w:numFmt w:val="lowerRoman"/>
      <w:lvlText w:val="%6."/>
      <w:lvlJc w:val="right"/>
      <w:pPr>
        <w:ind w:left="6305" w:hanging="180"/>
      </w:pPr>
    </w:lvl>
    <w:lvl w:ilvl="6" w:tplc="141A000F" w:tentative="1">
      <w:start w:val="1"/>
      <w:numFmt w:val="decimal"/>
      <w:lvlText w:val="%7."/>
      <w:lvlJc w:val="left"/>
      <w:pPr>
        <w:ind w:left="7025" w:hanging="360"/>
      </w:pPr>
    </w:lvl>
    <w:lvl w:ilvl="7" w:tplc="141A0019" w:tentative="1">
      <w:start w:val="1"/>
      <w:numFmt w:val="lowerLetter"/>
      <w:lvlText w:val="%8."/>
      <w:lvlJc w:val="left"/>
      <w:pPr>
        <w:ind w:left="7745" w:hanging="360"/>
      </w:pPr>
    </w:lvl>
    <w:lvl w:ilvl="8" w:tplc="141A001B" w:tentative="1">
      <w:start w:val="1"/>
      <w:numFmt w:val="lowerRoman"/>
      <w:lvlText w:val="%9."/>
      <w:lvlJc w:val="right"/>
      <w:pPr>
        <w:ind w:left="8465" w:hanging="180"/>
      </w:pPr>
    </w:lvl>
  </w:abstractNum>
  <w:abstractNum w:abstractNumId="17" w15:restartNumberingAfterBreak="0">
    <w:nsid w:val="78C26BCB"/>
    <w:multiLevelType w:val="hybridMultilevel"/>
    <w:tmpl w:val="49521CA2"/>
    <w:lvl w:ilvl="0" w:tplc="7F0A418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16cid:durableId="2125806112">
    <w:abstractNumId w:val="15"/>
  </w:num>
  <w:num w:numId="2" w16cid:durableId="651562794">
    <w:abstractNumId w:val="6"/>
  </w:num>
  <w:num w:numId="3" w16cid:durableId="1729764717">
    <w:abstractNumId w:val="7"/>
  </w:num>
  <w:num w:numId="4" w16cid:durableId="136070436">
    <w:abstractNumId w:val="13"/>
  </w:num>
  <w:num w:numId="5" w16cid:durableId="1260336856">
    <w:abstractNumId w:val="5"/>
  </w:num>
  <w:num w:numId="6" w16cid:durableId="1030374556">
    <w:abstractNumId w:val="3"/>
  </w:num>
  <w:num w:numId="7" w16cid:durableId="1527981978">
    <w:abstractNumId w:val="8"/>
  </w:num>
  <w:num w:numId="8" w16cid:durableId="1746678906">
    <w:abstractNumId w:val="10"/>
  </w:num>
  <w:num w:numId="9" w16cid:durableId="1477720704">
    <w:abstractNumId w:val="1"/>
  </w:num>
  <w:num w:numId="10" w16cid:durableId="2001156646">
    <w:abstractNumId w:val="11"/>
  </w:num>
  <w:num w:numId="11" w16cid:durableId="315913762">
    <w:abstractNumId w:val="16"/>
  </w:num>
  <w:num w:numId="12" w16cid:durableId="1065643724">
    <w:abstractNumId w:val="4"/>
  </w:num>
  <w:num w:numId="13" w16cid:durableId="1653674962">
    <w:abstractNumId w:val="0"/>
  </w:num>
  <w:num w:numId="14" w16cid:durableId="553665839">
    <w:abstractNumId w:val="2"/>
  </w:num>
  <w:num w:numId="15" w16cid:durableId="1910455321">
    <w:abstractNumId w:val="2"/>
  </w:num>
  <w:num w:numId="16" w16cid:durableId="1539396683">
    <w:abstractNumId w:val="2"/>
  </w:num>
  <w:num w:numId="17" w16cid:durableId="417680575">
    <w:abstractNumId w:val="2"/>
  </w:num>
  <w:num w:numId="18" w16cid:durableId="1884635288">
    <w:abstractNumId w:val="2"/>
  </w:num>
  <w:num w:numId="19" w16cid:durableId="1501894283">
    <w:abstractNumId w:val="2"/>
  </w:num>
  <w:num w:numId="20" w16cid:durableId="403257178">
    <w:abstractNumId w:val="2"/>
  </w:num>
  <w:num w:numId="21" w16cid:durableId="774908537">
    <w:abstractNumId w:val="2"/>
  </w:num>
  <w:num w:numId="22" w16cid:durableId="431782146">
    <w:abstractNumId w:val="2"/>
  </w:num>
  <w:num w:numId="23" w16cid:durableId="576020772">
    <w:abstractNumId w:val="2"/>
  </w:num>
  <w:num w:numId="24" w16cid:durableId="1615289910">
    <w:abstractNumId w:val="2"/>
  </w:num>
  <w:num w:numId="25" w16cid:durableId="2054502540">
    <w:abstractNumId w:val="2"/>
  </w:num>
  <w:num w:numId="26" w16cid:durableId="413624301">
    <w:abstractNumId w:val="2"/>
  </w:num>
  <w:num w:numId="27" w16cid:durableId="899289122">
    <w:abstractNumId w:val="2"/>
  </w:num>
  <w:num w:numId="28" w16cid:durableId="665281403">
    <w:abstractNumId w:val="2"/>
  </w:num>
  <w:num w:numId="29" w16cid:durableId="560753028">
    <w:abstractNumId w:val="2"/>
  </w:num>
  <w:num w:numId="30" w16cid:durableId="902637790">
    <w:abstractNumId w:val="2"/>
  </w:num>
  <w:num w:numId="31" w16cid:durableId="318534749">
    <w:abstractNumId w:val="2"/>
  </w:num>
  <w:num w:numId="32" w16cid:durableId="1480345496">
    <w:abstractNumId w:val="2"/>
  </w:num>
  <w:num w:numId="33" w16cid:durableId="1758014637">
    <w:abstractNumId w:val="2"/>
  </w:num>
  <w:num w:numId="34" w16cid:durableId="745153561">
    <w:abstractNumId w:val="9"/>
  </w:num>
  <w:num w:numId="35" w16cid:durableId="376315161">
    <w:abstractNumId w:val="17"/>
  </w:num>
  <w:num w:numId="36" w16cid:durableId="163321974">
    <w:abstractNumId w:val="12"/>
  </w:num>
  <w:num w:numId="37" w16cid:durableId="4550318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F8"/>
    <w:rsid w:val="00000137"/>
    <w:rsid w:val="00007163"/>
    <w:rsid w:val="00011259"/>
    <w:rsid w:val="000135B1"/>
    <w:rsid w:val="00014413"/>
    <w:rsid w:val="000148C8"/>
    <w:rsid w:val="000151D9"/>
    <w:rsid w:val="00022E9A"/>
    <w:rsid w:val="00024182"/>
    <w:rsid w:val="000251BE"/>
    <w:rsid w:val="00026F58"/>
    <w:rsid w:val="000272EC"/>
    <w:rsid w:val="00031018"/>
    <w:rsid w:val="00032681"/>
    <w:rsid w:val="0003274E"/>
    <w:rsid w:val="000328F8"/>
    <w:rsid w:val="00032DEA"/>
    <w:rsid w:val="000346C8"/>
    <w:rsid w:val="00037850"/>
    <w:rsid w:val="000415BE"/>
    <w:rsid w:val="00044006"/>
    <w:rsid w:val="00044558"/>
    <w:rsid w:val="00051554"/>
    <w:rsid w:val="000516AE"/>
    <w:rsid w:val="00051ECD"/>
    <w:rsid w:val="0005567C"/>
    <w:rsid w:val="0006233E"/>
    <w:rsid w:val="00063AA4"/>
    <w:rsid w:val="00065FCC"/>
    <w:rsid w:val="0006699E"/>
    <w:rsid w:val="0006777E"/>
    <w:rsid w:val="0007545D"/>
    <w:rsid w:val="00077BCC"/>
    <w:rsid w:val="00082B17"/>
    <w:rsid w:val="000837E7"/>
    <w:rsid w:val="00083AE9"/>
    <w:rsid w:val="00084093"/>
    <w:rsid w:val="000860B2"/>
    <w:rsid w:val="000900FB"/>
    <w:rsid w:val="000906C1"/>
    <w:rsid w:val="000929B9"/>
    <w:rsid w:val="00094E5A"/>
    <w:rsid w:val="000962ED"/>
    <w:rsid w:val="000A0367"/>
    <w:rsid w:val="000A1397"/>
    <w:rsid w:val="000A28BB"/>
    <w:rsid w:val="000A3D18"/>
    <w:rsid w:val="000A4D46"/>
    <w:rsid w:val="000A5458"/>
    <w:rsid w:val="000A66EB"/>
    <w:rsid w:val="000A7DAC"/>
    <w:rsid w:val="000B0CC1"/>
    <w:rsid w:val="000B1FA5"/>
    <w:rsid w:val="000B2A9F"/>
    <w:rsid w:val="000B39E3"/>
    <w:rsid w:val="000B5080"/>
    <w:rsid w:val="000B5347"/>
    <w:rsid w:val="000C1C20"/>
    <w:rsid w:val="000C3CA0"/>
    <w:rsid w:val="000D1D16"/>
    <w:rsid w:val="000D334A"/>
    <w:rsid w:val="000D3404"/>
    <w:rsid w:val="000D3F52"/>
    <w:rsid w:val="000E1231"/>
    <w:rsid w:val="000E2E74"/>
    <w:rsid w:val="000E444F"/>
    <w:rsid w:val="000F0409"/>
    <w:rsid w:val="000F16CD"/>
    <w:rsid w:val="000F3F2E"/>
    <w:rsid w:val="000F46C2"/>
    <w:rsid w:val="000F524A"/>
    <w:rsid w:val="000F6C60"/>
    <w:rsid w:val="000F72DA"/>
    <w:rsid w:val="0010058E"/>
    <w:rsid w:val="0010290B"/>
    <w:rsid w:val="00103ABB"/>
    <w:rsid w:val="00106D2A"/>
    <w:rsid w:val="00106EFB"/>
    <w:rsid w:val="001104C5"/>
    <w:rsid w:val="00112F76"/>
    <w:rsid w:val="00113C2A"/>
    <w:rsid w:val="00114569"/>
    <w:rsid w:val="00117236"/>
    <w:rsid w:val="001203BD"/>
    <w:rsid w:val="00120AAC"/>
    <w:rsid w:val="00121027"/>
    <w:rsid w:val="001256C5"/>
    <w:rsid w:val="00125D3F"/>
    <w:rsid w:val="0013029E"/>
    <w:rsid w:val="00130A50"/>
    <w:rsid w:val="00131AA0"/>
    <w:rsid w:val="00134610"/>
    <w:rsid w:val="00134A35"/>
    <w:rsid w:val="00141861"/>
    <w:rsid w:val="0014331A"/>
    <w:rsid w:val="0014617E"/>
    <w:rsid w:val="001462FF"/>
    <w:rsid w:val="001504FD"/>
    <w:rsid w:val="00150C31"/>
    <w:rsid w:val="001519D8"/>
    <w:rsid w:val="00153916"/>
    <w:rsid w:val="00157E06"/>
    <w:rsid w:val="0017189E"/>
    <w:rsid w:val="001736D0"/>
    <w:rsid w:val="0017381B"/>
    <w:rsid w:val="0017441B"/>
    <w:rsid w:val="00176FCF"/>
    <w:rsid w:val="00177ED0"/>
    <w:rsid w:val="00183AC6"/>
    <w:rsid w:val="00184471"/>
    <w:rsid w:val="001844DF"/>
    <w:rsid w:val="00191091"/>
    <w:rsid w:val="001911DA"/>
    <w:rsid w:val="00191204"/>
    <w:rsid w:val="00191401"/>
    <w:rsid w:val="00192A3C"/>
    <w:rsid w:val="00197F35"/>
    <w:rsid w:val="001A0439"/>
    <w:rsid w:val="001A0F52"/>
    <w:rsid w:val="001A170A"/>
    <w:rsid w:val="001A5B26"/>
    <w:rsid w:val="001A6E79"/>
    <w:rsid w:val="001A7FC3"/>
    <w:rsid w:val="001B1107"/>
    <w:rsid w:val="001C2B5B"/>
    <w:rsid w:val="001C56AD"/>
    <w:rsid w:val="001C7AA1"/>
    <w:rsid w:val="001D0605"/>
    <w:rsid w:val="001D2933"/>
    <w:rsid w:val="001D2C5D"/>
    <w:rsid w:val="001D5D0D"/>
    <w:rsid w:val="001D5D19"/>
    <w:rsid w:val="001D78B3"/>
    <w:rsid w:val="001E089C"/>
    <w:rsid w:val="001E146A"/>
    <w:rsid w:val="001E19F2"/>
    <w:rsid w:val="001E2E99"/>
    <w:rsid w:val="001E4D20"/>
    <w:rsid w:val="001E4EE0"/>
    <w:rsid w:val="001E565F"/>
    <w:rsid w:val="001E5746"/>
    <w:rsid w:val="001E584B"/>
    <w:rsid w:val="001E591C"/>
    <w:rsid w:val="001E6AFF"/>
    <w:rsid w:val="001F0CAB"/>
    <w:rsid w:val="001F148E"/>
    <w:rsid w:val="001F64B8"/>
    <w:rsid w:val="00200503"/>
    <w:rsid w:val="0020090C"/>
    <w:rsid w:val="00200C00"/>
    <w:rsid w:val="002024AB"/>
    <w:rsid w:val="00204570"/>
    <w:rsid w:val="0020508C"/>
    <w:rsid w:val="00206A3B"/>
    <w:rsid w:val="002155DC"/>
    <w:rsid w:val="002206CB"/>
    <w:rsid w:val="00222390"/>
    <w:rsid w:val="002245EC"/>
    <w:rsid w:val="00231F4F"/>
    <w:rsid w:val="00233F66"/>
    <w:rsid w:val="00233FBF"/>
    <w:rsid w:val="002371AB"/>
    <w:rsid w:val="002408D9"/>
    <w:rsid w:val="00246C12"/>
    <w:rsid w:val="00254959"/>
    <w:rsid w:val="002557B8"/>
    <w:rsid w:val="00263C40"/>
    <w:rsid w:val="0026412A"/>
    <w:rsid w:val="00264A41"/>
    <w:rsid w:val="00265A1F"/>
    <w:rsid w:val="00270261"/>
    <w:rsid w:val="002732B2"/>
    <w:rsid w:val="00275894"/>
    <w:rsid w:val="00277570"/>
    <w:rsid w:val="0027782D"/>
    <w:rsid w:val="002841FA"/>
    <w:rsid w:val="0028478D"/>
    <w:rsid w:val="00284C3E"/>
    <w:rsid w:val="0028573A"/>
    <w:rsid w:val="00285DD5"/>
    <w:rsid w:val="00286C2D"/>
    <w:rsid w:val="00287445"/>
    <w:rsid w:val="00292417"/>
    <w:rsid w:val="00295D63"/>
    <w:rsid w:val="002A1213"/>
    <w:rsid w:val="002A4CD8"/>
    <w:rsid w:val="002A7E14"/>
    <w:rsid w:val="002B51B0"/>
    <w:rsid w:val="002B5365"/>
    <w:rsid w:val="002B5539"/>
    <w:rsid w:val="002B631B"/>
    <w:rsid w:val="002B7F26"/>
    <w:rsid w:val="002C6D56"/>
    <w:rsid w:val="002C7893"/>
    <w:rsid w:val="002C7F8A"/>
    <w:rsid w:val="002D279B"/>
    <w:rsid w:val="002D5BB1"/>
    <w:rsid w:val="002D6F49"/>
    <w:rsid w:val="002E1BE6"/>
    <w:rsid w:val="002E3F1B"/>
    <w:rsid w:val="002E50A1"/>
    <w:rsid w:val="002F334C"/>
    <w:rsid w:val="002F3D67"/>
    <w:rsid w:val="002F5789"/>
    <w:rsid w:val="002F6D8F"/>
    <w:rsid w:val="0030297D"/>
    <w:rsid w:val="00307470"/>
    <w:rsid w:val="00311D21"/>
    <w:rsid w:val="003171A6"/>
    <w:rsid w:val="00317B8F"/>
    <w:rsid w:val="00322455"/>
    <w:rsid w:val="003323A4"/>
    <w:rsid w:val="00332678"/>
    <w:rsid w:val="0033354B"/>
    <w:rsid w:val="00335CF4"/>
    <w:rsid w:val="003378FD"/>
    <w:rsid w:val="00337A61"/>
    <w:rsid w:val="00340D25"/>
    <w:rsid w:val="00342B9B"/>
    <w:rsid w:val="00343FB6"/>
    <w:rsid w:val="003451EA"/>
    <w:rsid w:val="003472D5"/>
    <w:rsid w:val="00347873"/>
    <w:rsid w:val="00350DB5"/>
    <w:rsid w:val="00353482"/>
    <w:rsid w:val="00355E60"/>
    <w:rsid w:val="00356249"/>
    <w:rsid w:val="003562D8"/>
    <w:rsid w:val="00357C26"/>
    <w:rsid w:val="00362255"/>
    <w:rsid w:val="003630D8"/>
    <w:rsid w:val="00365DAE"/>
    <w:rsid w:val="003677CB"/>
    <w:rsid w:val="00367BA8"/>
    <w:rsid w:val="0037094A"/>
    <w:rsid w:val="00370B31"/>
    <w:rsid w:val="0037139F"/>
    <w:rsid w:val="00371EF6"/>
    <w:rsid w:val="003737AC"/>
    <w:rsid w:val="00375EC6"/>
    <w:rsid w:val="00376CE7"/>
    <w:rsid w:val="00376D28"/>
    <w:rsid w:val="003775C7"/>
    <w:rsid w:val="003819EE"/>
    <w:rsid w:val="00385166"/>
    <w:rsid w:val="003879B8"/>
    <w:rsid w:val="00387C8E"/>
    <w:rsid w:val="00392F1C"/>
    <w:rsid w:val="003A20D3"/>
    <w:rsid w:val="003A56FF"/>
    <w:rsid w:val="003A5D7B"/>
    <w:rsid w:val="003B00DA"/>
    <w:rsid w:val="003B6124"/>
    <w:rsid w:val="003B77C3"/>
    <w:rsid w:val="003C06E0"/>
    <w:rsid w:val="003C08EB"/>
    <w:rsid w:val="003C16D6"/>
    <w:rsid w:val="003C3C7C"/>
    <w:rsid w:val="003D292D"/>
    <w:rsid w:val="003D492D"/>
    <w:rsid w:val="003D788C"/>
    <w:rsid w:val="003E0D49"/>
    <w:rsid w:val="003E4CBA"/>
    <w:rsid w:val="003E78FE"/>
    <w:rsid w:val="003E7DCF"/>
    <w:rsid w:val="003F391A"/>
    <w:rsid w:val="003F767E"/>
    <w:rsid w:val="003F79FC"/>
    <w:rsid w:val="00401655"/>
    <w:rsid w:val="00401F5C"/>
    <w:rsid w:val="0040324D"/>
    <w:rsid w:val="004037E0"/>
    <w:rsid w:val="00407802"/>
    <w:rsid w:val="00410EF8"/>
    <w:rsid w:val="004125D3"/>
    <w:rsid w:val="00412EF5"/>
    <w:rsid w:val="00413D4D"/>
    <w:rsid w:val="00416719"/>
    <w:rsid w:val="0042034C"/>
    <w:rsid w:val="00420EAC"/>
    <w:rsid w:val="004232D8"/>
    <w:rsid w:val="004255B8"/>
    <w:rsid w:val="00426F4A"/>
    <w:rsid w:val="00427B17"/>
    <w:rsid w:val="00427FFA"/>
    <w:rsid w:val="00431B2D"/>
    <w:rsid w:val="004326E3"/>
    <w:rsid w:val="00437165"/>
    <w:rsid w:val="004417E0"/>
    <w:rsid w:val="00442675"/>
    <w:rsid w:val="00443F20"/>
    <w:rsid w:val="0044713A"/>
    <w:rsid w:val="00447E36"/>
    <w:rsid w:val="00452F49"/>
    <w:rsid w:val="0045370E"/>
    <w:rsid w:val="004544B8"/>
    <w:rsid w:val="004564E8"/>
    <w:rsid w:val="0045773F"/>
    <w:rsid w:val="00457F53"/>
    <w:rsid w:val="004603BB"/>
    <w:rsid w:val="00460900"/>
    <w:rsid w:val="0046710F"/>
    <w:rsid w:val="00467B06"/>
    <w:rsid w:val="00471ED1"/>
    <w:rsid w:val="004858C8"/>
    <w:rsid w:val="00485A3D"/>
    <w:rsid w:val="0048706E"/>
    <w:rsid w:val="004900E3"/>
    <w:rsid w:val="00492CC9"/>
    <w:rsid w:val="00493079"/>
    <w:rsid w:val="00496963"/>
    <w:rsid w:val="004976D6"/>
    <w:rsid w:val="004A2838"/>
    <w:rsid w:val="004A5C5D"/>
    <w:rsid w:val="004A61DE"/>
    <w:rsid w:val="004B1152"/>
    <w:rsid w:val="004B1C75"/>
    <w:rsid w:val="004B2B20"/>
    <w:rsid w:val="004B3ACE"/>
    <w:rsid w:val="004B400C"/>
    <w:rsid w:val="004B6376"/>
    <w:rsid w:val="004B7355"/>
    <w:rsid w:val="004C28F4"/>
    <w:rsid w:val="004C4347"/>
    <w:rsid w:val="004C4495"/>
    <w:rsid w:val="004C465B"/>
    <w:rsid w:val="004C579B"/>
    <w:rsid w:val="004C6A37"/>
    <w:rsid w:val="004C6CD8"/>
    <w:rsid w:val="004D3278"/>
    <w:rsid w:val="004D3764"/>
    <w:rsid w:val="004D5F6B"/>
    <w:rsid w:val="004D631E"/>
    <w:rsid w:val="004D72CD"/>
    <w:rsid w:val="004E61F4"/>
    <w:rsid w:val="004E6A57"/>
    <w:rsid w:val="004F2391"/>
    <w:rsid w:val="004F3184"/>
    <w:rsid w:val="004F4AB8"/>
    <w:rsid w:val="004F7D09"/>
    <w:rsid w:val="00501565"/>
    <w:rsid w:val="00504B85"/>
    <w:rsid w:val="00506FB2"/>
    <w:rsid w:val="00507A8A"/>
    <w:rsid w:val="00511CF0"/>
    <w:rsid w:val="00522483"/>
    <w:rsid w:val="00523BCD"/>
    <w:rsid w:val="005246BB"/>
    <w:rsid w:val="00527C60"/>
    <w:rsid w:val="005308C0"/>
    <w:rsid w:val="005310B3"/>
    <w:rsid w:val="00531762"/>
    <w:rsid w:val="005332E7"/>
    <w:rsid w:val="0053637E"/>
    <w:rsid w:val="0053677F"/>
    <w:rsid w:val="00543BE3"/>
    <w:rsid w:val="005441C0"/>
    <w:rsid w:val="00547B24"/>
    <w:rsid w:val="00547B9E"/>
    <w:rsid w:val="00550C26"/>
    <w:rsid w:val="0055181A"/>
    <w:rsid w:val="005537AD"/>
    <w:rsid w:val="00556A69"/>
    <w:rsid w:val="005609F1"/>
    <w:rsid w:val="00560BC0"/>
    <w:rsid w:val="00561841"/>
    <w:rsid w:val="00563031"/>
    <w:rsid w:val="00564AE0"/>
    <w:rsid w:val="00565F93"/>
    <w:rsid w:val="005672E9"/>
    <w:rsid w:val="0057013B"/>
    <w:rsid w:val="00570715"/>
    <w:rsid w:val="0057408A"/>
    <w:rsid w:val="00585ADA"/>
    <w:rsid w:val="005878E9"/>
    <w:rsid w:val="005909B3"/>
    <w:rsid w:val="005910C7"/>
    <w:rsid w:val="005918E2"/>
    <w:rsid w:val="00591E10"/>
    <w:rsid w:val="00597718"/>
    <w:rsid w:val="005A2229"/>
    <w:rsid w:val="005A3099"/>
    <w:rsid w:val="005A4E44"/>
    <w:rsid w:val="005A5C52"/>
    <w:rsid w:val="005A7747"/>
    <w:rsid w:val="005B08F3"/>
    <w:rsid w:val="005B2D02"/>
    <w:rsid w:val="005B2D55"/>
    <w:rsid w:val="005B343C"/>
    <w:rsid w:val="005B4170"/>
    <w:rsid w:val="005B4C88"/>
    <w:rsid w:val="005C1FD7"/>
    <w:rsid w:val="005C20EB"/>
    <w:rsid w:val="005C5C97"/>
    <w:rsid w:val="005C60D9"/>
    <w:rsid w:val="005C758E"/>
    <w:rsid w:val="005C77EF"/>
    <w:rsid w:val="005C7ED6"/>
    <w:rsid w:val="005D02BA"/>
    <w:rsid w:val="005D2179"/>
    <w:rsid w:val="005D278B"/>
    <w:rsid w:val="005D4BE9"/>
    <w:rsid w:val="005E12BF"/>
    <w:rsid w:val="005E1F31"/>
    <w:rsid w:val="005F66EB"/>
    <w:rsid w:val="005F6E2B"/>
    <w:rsid w:val="005F7D74"/>
    <w:rsid w:val="0060014B"/>
    <w:rsid w:val="00600605"/>
    <w:rsid w:val="00600A01"/>
    <w:rsid w:val="00600CDD"/>
    <w:rsid w:val="006016FC"/>
    <w:rsid w:val="006116B8"/>
    <w:rsid w:val="006119A7"/>
    <w:rsid w:val="0061282E"/>
    <w:rsid w:val="006167C3"/>
    <w:rsid w:val="006178B8"/>
    <w:rsid w:val="00617AF5"/>
    <w:rsid w:val="006205E2"/>
    <w:rsid w:val="00620B5D"/>
    <w:rsid w:val="00621C1E"/>
    <w:rsid w:val="006227E7"/>
    <w:rsid w:val="00623006"/>
    <w:rsid w:val="0062444E"/>
    <w:rsid w:val="00625674"/>
    <w:rsid w:val="00626711"/>
    <w:rsid w:val="006324EF"/>
    <w:rsid w:val="00633588"/>
    <w:rsid w:val="00634BF4"/>
    <w:rsid w:val="00642A9A"/>
    <w:rsid w:val="006466F3"/>
    <w:rsid w:val="006476A8"/>
    <w:rsid w:val="006501BB"/>
    <w:rsid w:val="00653FF9"/>
    <w:rsid w:val="0065694F"/>
    <w:rsid w:val="00657CE1"/>
    <w:rsid w:val="00660018"/>
    <w:rsid w:val="006602CE"/>
    <w:rsid w:val="006623C9"/>
    <w:rsid w:val="00663648"/>
    <w:rsid w:val="00664581"/>
    <w:rsid w:val="006651DD"/>
    <w:rsid w:val="006668B7"/>
    <w:rsid w:val="00670405"/>
    <w:rsid w:val="0067268B"/>
    <w:rsid w:val="00673C20"/>
    <w:rsid w:val="006759EA"/>
    <w:rsid w:val="00675CC2"/>
    <w:rsid w:val="0068422B"/>
    <w:rsid w:val="006858CA"/>
    <w:rsid w:val="00690E92"/>
    <w:rsid w:val="0069389D"/>
    <w:rsid w:val="006945D2"/>
    <w:rsid w:val="00694B9A"/>
    <w:rsid w:val="00695D6F"/>
    <w:rsid w:val="006968C9"/>
    <w:rsid w:val="00697398"/>
    <w:rsid w:val="006979F7"/>
    <w:rsid w:val="006A2DA0"/>
    <w:rsid w:val="006A5147"/>
    <w:rsid w:val="006B08E0"/>
    <w:rsid w:val="006B0B18"/>
    <w:rsid w:val="006B4830"/>
    <w:rsid w:val="006B529A"/>
    <w:rsid w:val="006C0A7E"/>
    <w:rsid w:val="006C14CE"/>
    <w:rsid w:val="006C3C0D"/>
    <w:rsid w:val="006C3C78"/>
    <w:rsid w:val="006C492A"/>
    <w:rsid w:val="006C4998"/>
    <w:rsid w:val="006C4D08"/>
    <w:rsid w:val="006C6FBE"/>
    <w:rsid w:val="006D48C0"/>
    <w:rsid w:val="006D5275"/>
    <w:rsid w:val="006D72D1"/>
    <w:rsid w:val="006E0409"/>
    <w:rsid w:val="006E0947"/>
    <w:rsid w:val="006E6183"/>
    <w:rsid w:val="006E65FF"/>
    <w:rsid w:val="006E68A8"/>
    <w:rsid w:val="006F000E"/>
    <w:rsid w:val="006F0621"/>
    <w:rsid w:val="006F4197"/>
    <w:rsid w:val="006F47BD"/>
    <w:rsid w:val="007006B7"/>
    <w:rsid w:val="00702AC0"/>
    <w:rsid w:val="00702C1D"/>
    <w:rsid w:val="00703FE0"/>
    <w:rsid w:val="00710672"/>
    <w:rsid w:val="0071200C"/>
    <w:rsid w:val="007139C5"/>
    <w:rsid w:val="00714F51"/>
    <w:rsid w:val="00716CE8"/>
    <w:rsid w:val="007208A7"/>
    <w:rsid w:val="00726098"/>
    <w:rsid w:val="0072707A"/>
    <w:rsid w:val="00730103"/>
    <w:rsid w:val="00730127"/>
    <w:rsid w:val="00732F0B"/>
    <w:rsid w:val="00741DD2"/>
    <w:rsid w:val="00743DCB"/>
    <w:rsid w:val="0074596E"/>
    <w:rsid w:val="0075156E"/>
    <w:rsid w:val="007516C8"/>
    <w:rsid w:val="00752CB7"/>
    <w:rsid w:val="00757DAF"/>
    <w:rsid w:val="0076290D"/>
    <w:rsid w:val="00764CEB"/>
    <w:rsid w:val="00765A48"/>
    <w:rsid w:val="00767DD6"/>
    <w:rsid w:val="007706A9"/>
    <w:rsid w:val="00781C8D"/>
    <w:rsid w:val="0078455B"/>
    <w:rsid w:val="00785919"/>
    <w:rsid w:val="007915E9"/>
    <w:rsid w:val="00791AA0"/>
    <w:rsid w:val="007940B2"/>
    <w:rsid w:val="007966B6"/>
    <w:rsid w:val="00796DEF"/>
    <w:rsid w:val="007A079D"/>
    <w:rsid w:val="007A1A74"/>
    <w:rsid w:val="007A25E5"/>
    <w:rsid w:val="007A31E8"/>
    <w:rsid w:val="007A4E28"/>
    <w:rsid w:val="007A7147"/>
    <w:rsid w:val="007A771B"/>
    <w:rsid w:val="007B0A7B"/>
    <w:rsid w:val="007B12B0"/>
    <w:rsid w:val="007B4CAC"/>
    <w:rsid w:val="007B6292"/>
    <w:rsid w:val="007C1272"/>
    <w:rsid w:val="007C1B8A"/>
    <w:rsid w:val="007C2D32"/>
    <w:rsid w:val="007C4611"/>
    <w:rsid w:val="007C5344"/>
    <w:rsid w:val="007C6E0A"/>
    <w:rsid w:val="007D222E"/>
    <w:rsid w:val="007D2813"/>
    <w:rsid w:val="007D2825"/>
    <w:rsid w:val="007D3C06"/>
    <w:rsid w:val="007D52D9"/>
    <w:rsid w:val="007D5B49"/>
    <w:rsid w:val="007D609A"/>
    <w:rsid w:val="007D6E7F"/>
    <w:rsid w:val="007E26DD"/>
    <w:rsid w:val="007E288B"/>
    <w:rsid w:val="007E553C"/>
    <w:rsid w:val="007E6189"/>
    <w:rsid w:val="007F1463"/>
    <w:rsid w:val="007F576F"/>
    <w:rsid w:val="007F76F4"/>
    <w:rsid w:val="00800A56"/>
    <w:rsid w:val="00800D6A"/>
    <w:rsid w:val="008031D6"/>
    <w:rsid w:val="00804CC3"/>
    <w:rsid w:val="00807BBE"/>
    <w:rsid w:val="00811311"/>
    <w:rsid w:val="00811379"/>
    <w:rsid w:val="00812761"/>
    <w:rsid w:val="00813341"/>
    <w:rsid w:val="00814A5F"/>
    <w:rsid w:val="008159E0"/>
    <w:rsid w:val="00817984"/>
    <w:rsid w:val="00823AF2"/>
    <w:rsid w:val="00823D8E"/>
    <w:rsid w:val="00831EB3"/>
    <w:rsid w:val="0083220B"/>
    <w:rsid w:val="00836611"/>
    <w:rsid w:val="008412D4"/>
    <w:rsid w:val="008439F8"/>
    <w:rsid w:val="008440FA"/>
    <w:rsid w:val="00855604"/>
    <w:rsid w:val="00867E00"/>
    <w:rsid w:val="008705AF"/>
    <w:rsid w:val="00871427"/>
    <w:rsid w:val="00872061"/>
    <w:rsid w:val="00872347"/>
    <w:rsid w:val="008726EA"/>
    <w:rsid w:val="00874214"/>
    <w:rsid w:val="00882810"/>
    <w:rsid w:val="00883357"/>
    <w:rsid w:val="0088392E"/>
    <w:rsid w:val="00886A51"/>
    <w:rsid w:val="00886B68"/>
    <w:rsid w:val="00891B39"/>
    <w:rsid w:val="00893180"/>
    <w:rsid w:val="00893368"/>
    <w:rsid w:val="00897438"/>
    <w:rsid w:val="008A0C3D"/>
    <w:rsid w:val="008A1899"/>
    <w:rsid w:val="008B2DA3"/>
    <w:rsid w:val="008B3510"/>
    <w:rsid w:val="008B3AAB"/>
    <w:rsid w:val="008B62FF"/>
    <w:rsid w:val="008C2BD4"/>
    <w:rsid w:val="008C5157"/>
    <w:rsid w:val="008C6C76"/>
    <w:rsid w:val="008D0815"/>
    <w:rsid w:val="008D094C"/>
    <w:rsid w:val="008D3996"/>
    <w:rsid w:val="008D53BE"/>
    <w:rsid w:val="008D587C"/>
    <w:rsid w:val="008D5E03"/>
    <w:rsid w:val="008E469C"/>
    <w:rsid w:val="008F0BF9"/>
    <w:rsid w:val="008F4BD2"/>
    <w:rsid w:val="008F7F05"/>
    <w:rsid w:val="00900BB4"/>
    <w:rsid w:val="00901648"/>
    <w:rsid w:val="009032BC"/>
    <w:rsid w:val="00905CF8"/>
    <w:rsid w:val="00911455"/>
    <w:rsid w:val="00913B66"/>
    <w:rsid w:val="009147F2"/>
    <w:rsid w:val="00914BA7"/>
    <w:rsid w:val="009246E8"/>
    <w:rsid w:val="00924AF2"/>
    <w:rsid w:val="00926469"/>
    <w:rsid w:val="0093023E"/>
    <w:rsid w:val="00931382"/>
    <w:rsid w:val="00933F5B"/>
    <w:rsid w:val="0093528A"/>
    <w:rsid w:val="00937778"/>
    <w:rsid w:val="0094040B"/>
    <w:rsid w:val="00941EB0"/>
    <w:rsid w:val="009435C9"/>
    <w:rsid w:val="00943682"/>
    <w:rsid w:val="009469F4"/>
    <w:rsid w:val="00947358"/>
    <w:rsid w:val="00952736"/>
    <w:rsid w:val="0095354B"/>
    <w:rsid w:val="00956582"/>
    <w:rsid w:val="00957CD7"/>
    <w:rsid w:val="009623D2"/>
    <w:rsid w:val="009673C2"/>
    <w:rsid w:val="009706D5"/>
    <w:rsid w:val="00971FD5"/>
    <w:rsid w:val="00972B78"/>
    <w:rsid w:val="00973EAB"/>
    <w:rsid w:val="00981AD6"/>
    <w:rsid w:val="00982716"/>
    <w:rsid w:val="00982BF4"/>
    <w:rsid w:val="009833EF"/>
    <w:rsid w:val="009859DB"/>
    <w:rsid w:val="00992DF8"/>
    <w:rsid w:val="00992E2E"/>
    <w:rsid w:val="00994055"/>
    <w:rsid w:val="00995796"/>
    <w:rsid w:val="009A0E73"/>
    <w:rsid w:val="009A15C4"/>
    <w:rsid w:val="009A1ACF"/>
    <w:rsid w:val="009A1B13"/>
    <w:rsid w:val="009A3057"/>
    <w:rsid w:val="009A5870"/>
    <w:rsid w:val="009A6745"/>
    <w:rsid w:val="009A7DAF"/>
    <w:rsid w:val="009B2FFE"/>
    <w:rsid w:val="009C23B6"/>
    <w:rsid w:val="009C52FD"/>
    <w:rsid w:val="009C583F"/>
    <w:rsid w:val="009D28EA"/>
    <w:rsid w:val="009D2926"/>
    <w:rsid w:val="009D2D76"/>
    <w:rsid w:val="009D2F8D"/>
    <w:rsid w:val="009D4117"/>
    <w:rsid w:val="009D43F6"/>
    <w:rsid w:val="009D49CE"/>
    <w:rsid w:val="009D7B64"/>
    <w:rsid w:val="009E45D3"/>
    <w:rsid w:val="009E67BC"/>
    <w:rsid w:val="00A011C3"/>
    <w:rsid w:val="00A04110"/>
    <w:rsid w:val="00A05F1D"/>
    <w:rsid w:val="00A07360"/>
    <w:rsid w:val="00A0789C"/>
    <w:rsid w:val="00A11984"/>
    <w:rsid w:val="00A11AC2"/>
    <w:rsid w:val="00A12BD6"/>
    <w:rsid w:val="00A154FE"/>
    <w:rsid w:val="00A20A50"/>
    <w:rsid w:val="00A2126F"/>
    <w:rsid w:val="00A23317"/>
    <w:rsid w:val="00A256BC"/>
    <w:rsid w:val="00A275F8"/>
    <w:rsid w:val="00A27B6A"/>
    <w:rsid w:val="00A32458"/>
    <w:rsid w:val="00A328D3"/>
    <w:rsid w:val="00A33517"/>
    <w:rsid w:val="00A337EF"/>
    <w:rsid w:val="00A35A4A"/>
    <w:rsid w:val="00A37278"/>
    <w:rsid w:val="00A37F66"/>
    <w:rsid w:val="00A43442"/>
    <w:rsid w:val="00A5129D"/>
    <w:rsid w:val="00A52B26"/>
    <w:rsid w:val="00A547A2"/>
    <w:rsid w:val="00A60B20"/>
    <w:rsid w:val="00A62F32"/>
    <w:rsid w:val="00A64FBB"/>
    <w:rsid w:val="00A65324"/>
    <w:rsid w:val="00A66703"/>
    <w:rsid w:val="00A67161"/>
    <w:rsid w:val="00A72D75"/>
    <w:rsid w:val="00A75434"/>
    <w:rsid w:val="00A76178"/>
    <w:rsid w:val="00A771BC"/>
    <w:rsid w:val="00A81785"/>
    <w:rsid w:val="00A86079"/>
    <w:rsid w:val="00A8661F"/>
    <w:rsid w:val="00A86D91"/>
    <w:rsid w:val="00A9057A"/>
    <w:rsid w:val="00A90A52"/>
    <w:rsid w:val="00A9412E"/>
    <w:rsid w:val="00A94247"/>
    <w:rsid w:val="00A96BF1"/>
    <w:rsid w:val="00AA0472"/>
    <w:rsid w:val="00AA36C0"/>
    <w:rsid w:val="00AA5539"/>
    <w:rsid w:val="00AA57B3"/>
    <w:rsid w:val="00AB4DEC"/>
    <w:rsid w:val="00AB68A8"/>
    <w:rsid w:val="00AB76ED"/>
    <w:rsid w:val="00AC1E60"/>
    <w:rsid w:val="00AC2444"/>
    <w:rsid w:val="00AC76BD"/>
    <w:rsid w:val="00AD0529"/>
    <w:rsid w:val="00AD0A0A"/>
    <w:rsid w:val="00AD2D5B"/>
    <w:rsid w:val="00AD2FB5"/>
    <w:rsid w:val="00AE02D0"/>
    <w:rsid w:val="00AE1C2C"/>
    <w:rsid w:val="00AE3631"/>
    <w:rsid w:val="00AE62E4"/>
    <w:rsid w:val="00AE757B"/>
    <w:rsid w:val="00AF07D3"/>
    <w:rsid w:val="00AF2E1A"/>
    <w:rsid w:val="00AF5849"/>
    <w:rsid w:val="00B02739"/>
    <w:rsid w:val="00B05313"/>
    <w:rsid w:val="00B06391"/>
    <w:rsid w:val="00B070E2"/>
    <w:rsid w:val="00B13644"/>
    <w:rsid w:val="00B146E3"/>
    <w:rsid w:val="00B17F00"/>
    <w:rsid w:val="00B20A8E"/>
    <w:rsid w:val="00B217BC"/>
    <w:rsid w:val="00B21F48"/>
    <w:rsid w:val="00B2322D"/>
    <w:rsid w:val="00B245DA"/>
    <w:rsid w:val="00B24D6E"/>
    <w:rsid w:val="00B251C6"/>
    <w:rsid w:val="00B25FE7"/>
    <w:rsid w:val="00B2773A"/>
    <w:rsid w:val="00B30C73"/>
    <w:rsid w:val="00B312B6"/>
    <w:rsid w:val="00B3351A"/>
    <w:rsid w:val="00B3466E"/>
    <w:rsid w:val="00B3486A"/>
    <w:rsid w:val="00B35193"/>
    <w:rsid w:val="00B41086"/>
    <w:rsid w:val="00B431E2"/>
    <w:rsid w:val="00B5058B"/>
    <w:rsid w:val="00B50D8F"/>
    <w:rsid w:val="00B51B72"/>
    <w:rsid w:val="00B540DC"/>
    <w:rsid w:val="00B5491F"/>
    <w:rsid w:val="00B55EB0"/>
    <w:rsid w:val="00B56301"/>
    <w:rsid w:val="00B56DBE"/>
    <w:rsid w:val="00B57981"/>
    <w:rsid w:val="00B67037"/>
    <w:rsid w:val="00B67C0F"/>
    <w:rsid w:val="00B7025C"/>
    <w:rsid w:val="00B7062F"/>
    <w:rsid w:val="00B70B18"/>
    <w:rsid w:val="00B712D3"/>
    <w:rsid w:val="00B739A4"/>
    <w:rsid w:val="00B74618"/>
    <w:rsid w:val="00B7576E"/>
    <w:rsid w:val="00B76BAD"/>
    <w:rsid w:val="00B80300"/>
    <w:rsid w:val="00B84575"/>
    <w:rsid w:val="00B874C7"/>
    <w:rsid w:val="00B931CC"/>
    <w:rsid w:val="00BA0CD0"/>
    <w:rsid w:val="00BA574D"/>
    <w:rsid w:val="00BA7145"/>
    <w:rsid w:val="00BB2747"/>
    <w:rsid w:val="00BB6DE0"/>
    <w:rsid w:val="00BC2332"/>
    <w:rsid w:val="00BC544E"/>
    <w:rsid w:val="00BD0387"/>
    <w:rsid w:val="00BD20AC"/>
    <w:rsid w:val="00BD612B"/>
    <w:rsid w:val="00BD78E1"/>
    <w:rsid w:val="00BE2D37"/>
    <w:rsid w:val="00BE46F9"/>
    <w:rsid w:val="00BE58A6"/>
    <w:rsid w:val="00BE6D6A"/>
    <w:rsid w:val="00BE7383"/>
    <w:rsid w:val="00BF01D1"/>
    <w:rsid w:val="00BF0442"/>
    <w:rsid w:val="00BF18BF"/>
    <w:rsid w:val="00BF4771"/>
    <w:rsid w:val="00BF5F4E"/>
    <w:rsid w:val="00BF6035"/>
    <w:rsid w:val="00BF765E"/>
    <w:rsid w:val="00C02CBF"/>
    <w:rsid w:val="00C06DB7"/>
    <w:rsid w:val="00C10A40"/>
    <w:rsid w:val="00C11D9A"/>
    <w:rsid w:val="00C121C4"/>
    <w:rsid w:val="00C12DBE"/>
    <w:rsid w:val="00C14D12"/>
    <w:rsid w:val="00C23FA2"/>
    <w:rsid w:val="00C2498D"/>
    <w:rsid w:val="00C24F73"/>
    <w:rsid w:val="00C27EFC"/>
    <w:rsid w:val="00C30058"/>
    <w:rsid w:val="00C30F11"/>
    <w:rsid w:val="00C312D4"/>
    <w:rsid w:val="00C3668F"/>
    <w:rsid w:val="00C45334"/>
    <w:rsid w:val="00C45490"/>
    <w:rsid w:val="00C5054F"/>
    <w:rsid w:val="00C50AEC"/>
    <w:rsid w:val="00C51610"/>
    <w:rsid w:val="00C52763"/>
    <w:rsid w:val="00C5374C"/>
    <w:rsid w:val="00C60723"/>
    <w:rsid w:val="00C60DFD"/>
    <w:rsid w:val="00C63E4E"/>
    <w:rsid w:val="00C65E39"/>
    <w:rsid w:val="00C66267"/>
    <w:rsid w:val="00C70FDC"/>
    <w:rsid w:val="00C72B91"/>
    <w:rsid w:val="00C743CB"/>
    <w:rsid w:val="00C7594B"/>
    <w:rsid w:val="00C771EF"/>
    <w:rsid w:val="00C7769B"/>
    <w:rsid w:val="00C91BE5"/>
    <w:rsid w:val="00C922B8"/>
    <w:rsid w:val="00C934C4"/>
    <w:rsid w:val="00C97F87"/>
    <w:rsid w:val="00CA0BC2"/>
    <w:rsid w:val="00CA5B5D"/>
    <w:rsid w:val="00CA5D87"/>
    <w:rsid w:val="00CA642D"/>
    <w:rsid w:val="00CB1430"/>
    <w:rsid w:val="00CB1F3D"/>
    <w:rsid w:val="00CB6D87"/>
    <w:rsid w:val="00CC1395"/>
    <w:rsid w:val="00CC15C7"/>
    <w:rsid w:val="00CC2464"/>
    <w:rsid w:val="00CC493F"/>
    <w:rsid w:val="00CC5D52"/>
    <w:rsid w:val="00CD5BA2"/>
    <w:rsid w:val="00CD602B"/>
    <w:rsid w:val="00CD6628"/>
    <w:rsid w:val="00CE0123"/>
    <w:rsid w:val="00CE05A2"/>
    <w:rsid w:val="00CE2F18"/>
    <w:rsid w:val="00CE35EF"/>
    <w:rsid w:val="00CE7234"/>
    <w:rsid w:val="00CE7AB4"/>
    <w:rsid w:val="00CF0B8C"/>
    <w:rsid w:val="00CF3739"/>
    <w:rsid w:val="00CF4BFD"/>
    <w:rsid w:val="00CF5D72"/>
    <w:rsid w:val="00CF5EB3"/>
    <w:rsid w:val="00D00253"/>
    <w:rsid w:val="00D01499"/>
    <w:rsid w:val="00D01AE1"/>
    <w:rsid w:val="00D07358"/>
    <w:rsid w:val="00D11AFA"/>
    <w:rsid w:val="00D12036"/>
    <w:rsid w:val="00D14193"/>
    <w:rsid w:val="00D17A25"/>
    <w:rsid w:val="00D23138"/>
    <w:rsid w:val="00D24516"/>
    <w:rsid w:val="00D24662"/>
    <w:rsid w:val="00D25921"/>
    <w:rsid w:val="00D26A76"/>
    <w:rsid w:val="00D30059"/>
    <w:rsid w:val="00D30179"/>
    <w:rsid w:val="00D30C06"/>
    <w:rsid w:val="00D31A18"/>
    <w:rsid w:val="00D31B35"/>
    <w:rsid w:val="00D31DDF"/>
    <w:rsid w:val="00D31FAF"/>
    <w:rsid w:val="00D3694E"/>
    <w:rsid w:val="00D37A6C"/>
    <w:rsid w:val="00D448ED"/>
    <w:rsid w:val="00D458D0"/>
    <w:rsid w:val="00D476B4"/>
    <w:rsid w:val="00D51C92"/>
    <w:rsid w:val="00D51FB5"/>
    <w:rsid w:val="00D52423"/>
    <w:rsid w:val="00D53787"/>
    <w:rsid w:val="00D56811"/>
    <w:rsid w:val="00D6013C"/>
    <w:rsid w:val="00D627F5"/>
    <w:rsid w:val="00D6346C"/>
    <w:rsid w:val="00D65269"/>
    <w:rsid w:val="00D653D2"/>
    <w:rsid w:val="00D67F38"/>
    <w:rsid w:val="00D73A70"/>
    <w:rsid w:val="00D74127"/>
    <w:rsid w:val="00D76FF1"/>
    <w:rsid w:val="00D8067A"/>
    <w:rsid w:val="00D84690"/>
    <w:rsid w:val="00D92296"/>
    <w:rsid w:val="00D92721"/>
    <w:rsid w:val="00D95F4D"/>
    <w:rsid w:val="00D96821"/>
    <w:rsid w:val="00D97215"/>
    <w:rsid w:val="00DA0591"/>
    <w:rsid w:val="00DA1DA0"/>
    <w:rsid w:val="00DA3227"/>
    <w:rsid w:val="00DA66EB"/>
    <w:rsid w:val="00DA6BE8"/>
    <w:rsid w:val="00DA749E"/>
    <w:rsid w:val="00DB3674"/>
    <w:rsid w:val="00DB4BD2"/>
    <w:rsid w:val="00DC60B0"/>
    <w:rsid w:val="00DC6FBF"/>
    <w:rsid w:val="00DC7937"/>
    <w:rsid w:val="00DC7D40"/>
    <w:rsid w:val="00DD05B0"/>
    <w:rsid w:val="00DD201F"/>
    <w:rsid w:val="00DD33B2"/>
    <w:rsid w:val="00DD3D21"/>
    <w:rsid w:val="00DD4253"/>
    <w:rsid w:val="00DD4A0D"/>
    <w:rsid w:val="00DD6E39"/>
    <w:rsid w:val="00DE1805"/>
    <w:rsid w:val="00DE3C25"/>
    <w:rsid w:val="00DE3F0E"/>
    <w:rsid w:val="00DE5FBC"/>
    <w:rsid w:val="00DE67ED"/>
    <w:rsid w:val="00DF1C86"/>
    <w:rsid w:val="00DF563E"/>
    <w:rsid w:val="00DF613C"/>
    <w:rsid w:val="00E0076D"/>
    <w:rsid w:val="00E01153"/>
    <w:rsid w:val="00E04C31"/>
    <w:rsid w:val="00E0648A"/>
    <w:rsid w:val="00E11571"/>
    <w:rsid w:val="00E1288D"/>
    <w:rsid w:val="00E13090"/>
    <w:rsid w:val="00E13186"/>
    <w:rsid w:val="00E13490"/>
    <w:rsid w:val="00E15FCF"/>
    <w:rsid w:val="00E161BC"/>
    <w:rsid w:val="00E16DD7"/>
    <w:rsid w:val="00E27C36"/>
    <w:rsid w:val="00E304BB"/>
    <w:rsid w:val="00E32651"/>
    <w:rsid w:val="00E367DF"/>
    <w:rsid w:val="00E42103"/>
    <w:rsid w:val="00E42529"/>
    <w:rsid w:val="00E47A1A"/>
    <w:rsid w:val="00E511FC"/>
    <w:rsid w:val="00E5273D"/>
    <w:rsid w:val="00E52BCB"/>
    <w:rsid w:val="00E53208"/>
    <w:rsid w:val="00E543D5"/>
    <w:rsid w:val="00E547CB"/>
    <w:rsid w:val="00E5515C"/>
    <w:rsid w:val="00E5739A"/>
    <w:rsid w:val="00E610FB"/>
    <w:rsid w:val="00E61C5E"/>
    <w:rsid w:val="00E66442"/>
    <w:rsid w:val="00E67CF9"/>
    <w:rsid w:val="00E701ED"/>
    <w:rsid w:val="00E72E63"/>
    <w:rsid w:val="00E73A87"/>
    <w:rsid w:val="00E765D1"/>
    <w:rsid w:val="00E81417"/>
    <w:rsid w:val="00E8285E"/>
    <w:rsid w:val="00E86399"/>
    <w:rsid w:val="00E879B7"/>
    <w:rsid w:val="00E91F45"/>
    <w:rsid w:val="00E9397B"/>
    <w:rsid w:val="00E93A96"/>
    <w:rsid w:val="00E95D93"/>
    <w:rsid w:val="00E972F1"/>
    <w:rsid w:val="00EA04C2"/>
    <w:rsid w:val="00EA4E63"/>
    <w:rsid w:val="00EA7A97"/>
    <w:rsid w:val="00EB3662"/>
    <w:rsid w:val="00EB3C60"/>
    <w:rsid w:val="00EC28D2"/>
    <w:rsid w:val="00EC5364"/>
    <w:rsid w:val="00EC63ED"/>
    <w:rsid w:val="00EC77FB"/>
    <w:rsid w:val="00ED64C5"/>
    <w:rsid w:val="00ED673B"/>
    <w:rsid w:val="00EE1892"/>
    <w:rsid w:val="00EE3374"/>
    <w:rsid w:val="00EF204F"/>
    <w:rsid w:val="00F00B6C"/>
    <w:rsid w:val="00F03800"/>
    <w:rsid w:val="00F168C8"/>
    <w:rsid w:val="00F16B2A"/>
    <w:rsid w:val="00F21BC8"/>
    <w:rsid w:val="00F25CEE"/>
    <w:rsid w:val="00F26586"/>
    <w:rsid w:val="00F319D7"/>
    <w:rsid w:val="00F31E82"/>
    <w:rsid w:val="00F35FA3"/>
    <w:rsid w:val="00F36950"/>
    <w:rsid w:val="00F4047D"/>
    <w:rsid w:val="00F41021"/>
    <w:rsid w:val="00F41400"/>
    <w:rsid w:val="00F417A5"/>
    <w:rsid w:val="00F42BFA"/>
    <w:rsid w:val="00F44CA7"/>
    <w:rsid w:val="00F45B78"/>
    <w:rsid w:val="00F50BA1"/>
    <w:rsid w:val="00F53121"/>
    <w:rsid w:val="00F628F3"/>
    <w:rsid w:val="00F66D29"/>
    <w:rsid w:val="00F71C49"/>
    <w:rsid w:val="00F740D8"/>
    <w:rsid w:val="00F74DEA"/>
    <w:rsid w:val="00F83640"/>
    <w:rsid w:val="00F915E5"/>
    <w:rsid w:val="00F92FDD"/>
    <w:rsid w:val="00FA0717"/>
    <w:rsid w:val="00FA0BBB"/>
    <w:rsid w:val="00FA53C6"/>
    <w:rsid w:val="00FA6833"/>
    <w:rsid w:val="00FA7600"/>
    <w:rsid w:val="00FA782F"/>
    <w:rsid w:val="00FB4D80"/>
    <w:rsid w:val="00FB51DA"/>
    <w:rsid w:val="00FC24D3"/>
    <w:rsid w:val="00FC49F5"/>
    <w:rsid w:val="00FD033C"/>
    <w:rsid w:val="00FD04DD"/>
    <w:rsid w:val="00FD0E14"/>
    <w:rsid w:val="00FD1A55"/>
    <w:rsid w:val="00FD1B3F"/>
    <w:rsid w:val="00FD228C"/>
    <w:rsid w:val="00FD3FA1"/>
    <w:rsid w:val="00FD4ACE"/>
    <w:rsid w:val="00FD61A9"/>
    <w:rsid w:val="00FD6CAB"/>
    <w:rsid w:val="00FE2940"/>
    <w:rsid w:val="00FE2FF7"/>
    <w:rsid w:val="00FE41FE"/>
    <w:rsid w:val="00FF34B3"/>
    <w:rsid w:val="00FF706F"/>
    <w:rsid w:val="00FF7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34A2"/>
  <w15:chartTrackingRefBased/>
  <w15:docId w15:val="{BFA06420-0D67-4841-929B-DBE9CCA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32BC"/>
    <w:rPr>
      <w:sz w:val="24"/>
      <w:szCs w:val="24"/>
      <w:lang w:val="en-US" w:eastAsia="en-US"/>
    </w:rPr>
  </w:style>
  <w:style w:type="paragraph" w:styleId="berschrift1">
    <w:name w:val="heading 1"/>
    <w:basedOn w:val="Standard"/>
    <w:next w:val="Standard"/>
    <w:qFormat/>
    <w:rsid w:val="00B05313"/>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05313"/>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B05313"/>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130A50"/>
    <w:pPr>
      <w:keepNext/>
      <w:spacing w:before="240" w:after="60"/>
      <w:outlineLvl w:val="3"/>
    </w:pPr>
    <w:rPr>
      <w:b/>
      <w:bCs/>
      <w:sz w:val="28"/>
      <w:szCs w:val="28"/>
      <w:lang w:val="hr-HR"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A,FA Fußnotentext,Footnote Text Char Char Char Char,Footnote Text Char Char,Footnote Text Char Char Char Char Char Char,Footnote Text Char Char Char,Footnote Text Char Char Char Char Char,FA Char,FA Fußnotentext Char"/>
    <w:basedOn w:val="Standard"/>
    <w:link w:val="FunotentextZchn"/>
    <w:semiHidden/>
    <w:rsid w:val="006858CA"/>
    <w:rPr>
      <w:sz w:val="20"/>
      <w:szCs w:val="20"/>
      <w:lang w:val="bs-Latn-BA" w:eastAsia="x-none"/>
    </w:rPr>
  </w:style>
  <w:style w:type="character" w:styleId="Funotenzeichen">
    <w:name w:val="footnote reference"/>
    <w:aliases w:val="Appel note de bas de page"/>
    <w:semiHidden/>
    <w:rsid w:val="006858CA"/>
    <w:rPr>
      <w:vertAlign w:val="superscript"/>
    </w:rPr>
  </w:style>
  <w:style w:type="paragraph" w:customStyle="1" w:styleId="Paragraphs">
    <w:name w:val="Paragraphs"/>
    <w:link w:val="ParagraphsChar2"/>
    <w:rsid w:val="00893368"/>
    <w:pPr>
      <w:numPr>
        <w:numId w:val="8"/>
      </w:numPr>
      <w:tabs>
        <w:tab w:val="num" w:pos="360"/>
      </w:tabs>
      <w:spacing w:after="240" w:line="360" w:lineRule="auto"/>
      <w:ind w:left="0" w:firstLine="0"/>
      <w:jc w:val="both"/>
    </w:pPr>
    <w:rPr>
      <w:sz w:val="24"/>
      <w:lang w:val="en-US" w:eastAsia="en-GB"/>
    </w:rPr>
  </w:style>
  <w:style w:type="character" w:customStyle="1" w:styleId="ParagraphsChar2">
    <w:name w:val="Paragraphs Char2"/>
    <w:link w:val="Paragraphs"/>
    <w:rsid w:val="00893368"/>
    <w:rPr>
      <w:sz w:val="24"/>
      <w:lang w:val="en-US" w:eastAsia="en-GB" w:bidi="ar-SA"/>
    </w:rPr>
  </w:style>
  <w:style w:type="character" w:customStyle="1" w:styleId="FunotentextZchn">
    <w:name w:val="Fußnotentext Zchn"/>
    <w:aliases w:val="FA Zchn,FA Fußnotentext Zchn,Footnote Text Char Char Char Char Zchn,Footnote Text Char Char Zchn,Footnote Text Char Char Char Char Char Char Zchn,Footnote Text Char Char Char Zchn,Footnote Text Char Char Char Char Char Zchn"/>
    <w:link w:val="Funotentext"/>
    <w:semiHidden/>
    <w:rsid w:val="00893368"/>
    <w:rPr>
      <w:lang w:val="bs-Latn-BA"/>
    </w:rPr>
  </w:style>
  <w:style w:type="paragraph" w:customStyle="1" w:styleId="Quotes">
    <w:name w:val="Quotes"/>
    <w:link w:val="QuotesChar"/>
    <w:rsid w:val="00893368"/>
    <w:pPr>
      <w:spacing w:after="280"/>
      <w:ind w:left="851" w:right="851"/>
      <w:jc w:val="both"/>
    </w:pPr>
    <w:rPr>
      <w:rFonts w:ascii="TimesPP" w:hAnsi="TimesPP"/>
      <w:sz w:val="22"/>
      <w:lang w:val="en-GB" w:eastAsia="en-US"/>
    </w:rPr>
  </w:style>
  <w:style w:type="character" w:customStyle="1" w:styleId="QuotesChar">
    <w:name w:val="Quotes Char"/>
    <w:link w:val="Quotes"/>
    <w:rsid w:val="00893368"/>
    <w:rPr>
      <w:rFonts w:ascii="TimesPP" w:hAnsi="TimesPP"/>
      <w:sz w:val="22"/>
      <w:lang w:val="en-GB" w:eastAsia="en-US" w:bidi="ar-SA"/>
    </w:rPr>
  </w:style>
  <w:style w:type="paragraph" w:customStyle="1" w:styleId="Default">
    <w:name w:val="Default"/>
    <w:rsid w:val="00893368"/>
    <w:pPr>
      <w:autoSpaceDE w:val="0"/>
      <w:autoSpaceDN w:val="0"/>
      <w:adjustRightInd w:val="0"/>
    </w:pPr>
    <w:rPr>
      <w:color w:val="000000"/>
      <w:sz w:val="24"/>
      <w:szCs w:val="24"/>
      <w:lang w:val="en-US" w:eastAsia="en-US"/>
    </w:rPr>
  </w:style>
  <w:style w:type="paragraph" w:customStyle="1" w:styleId="ColorfulList-Accent11">
    <w:name w:val="Colorful List - Accent 11"/>
    <w:basedOn w:val="Standard"/>
    <w:uiPriority w:val="34"/>
    <w:qFormat/>
    <w:rsid w:val="00B02739"/>
    <w:pPr>
      <w:ind w:left="720"/>
    </w:pPr>
  </w:style>
  <w:style w:type="character" w:customStyle="1" w:styleId="FootnoteTextChar">
    <w:name w:val="Footnote Text Char"/>
    <w:semiHidden/>
    <w:rsid w:val="006E0409"/>
    <w:rPr>
      <w:lang w:val="bs-Latn-BA"/>
    </w:rPr>
  </w:style>
  <w:style w:type="character" w:customStyle="1" w:styleId="berschrift4Zchn">
    <w:name w:val="Überschrift 4 Zchn"/>
    <w:link w:val="berschrift4"/>
    <w:rsid w:val="00130A50"/>
    <w:rPr>
      <w:b/>
      <w:bCs/>
      <w:sz w:val="28"/>
      <w:szCs w:val="28"/>
      <w:lang w:val="hr-HR"/>
    </w:rPr>
  </w:style>
  <w:style w:type="paragraph" w:customStyle="1" w:styleId="Heading4a">
    <w:name w:val="Heading 4a"/>
    <w:basedOn w:val="berschrift4"/>
    <w:rsid w:val="00130A50"/>
    <w:pPr>
      <w:spacing w:before="0" w:after="120"/>
      <w:jc w:val="center"/>
    </w:pPr>
    <w:rPr>
      <w:bCs w:val="0"/>
      <w:sz w:val="22"/>
      <w:szCs w:val="20"/>
    </w:rPr>
  </w:style>
  <w:style w:type="paragraph" w:styleId="Sprechblasentext">
    <w:name w:val="Balloon Text"/>
    <w:basedOn w:val="Standard"/>
    <w:link w:val="SprechblasentextZchn"/>
    <w:rsid w:val="00ED64C5"/>
    <w:rPr>
      <w:rFonts w:ascii="Tahoma" w:hAnsi="Tahoma"/>
      <w:sz w:val="16"/>
      <w:szCs w:val="16"/>
      <w:lang w:val="x-none" w:eastAsia="x-none"/>
    </w:rPr>
  </w:style>
  <w:style w:type="character" w:customStyle="1" w:styleId="SprechblasentextZchn">
    <w:name w:val="Sprechblasentext Zchn"/>
    <w:link w:val="Sprechblasentext"/>
    <w:rsid w:val="00ED64C5"/>
    <w:rPr>
      <w:rFonts w:ascii="Tahoma" w:hAnsi="Tahoma" w:cs="Tahoma"/>
      <w:sz w:val="16"/>
      <w:szCs w:val="16"/>
    </w:rPr>
  </w:style>
  <w:style w:type="paragraph" w:styleId="Fuzeile">
    <w:name w:val="footer"/>
    <w:basedOn w:val="Standard"/>
    <w:rsid w:val="004B7355"/>
    <w:pPr>
      <w:tabs>
        <w:tab w:val="center" w:pos="4320"/>
        <w:tab w:val="right" w:pos="8640"/>
      </w:tabs>
    </w:pPr>
  </w:style>
  <w:style w:type="character" w:styleId="Seitenzahl">
    <w:name w:val="page number"/>
    <w:basedOn w:val="Absatz-Standardschriftart"/>
    <w:rsid w:val="004B7355"/>
  </w:style>
  <w:style w:type="paragraph" w:styleId="Dokumentstruktur">
    <w:name w:val="Document Map"/>
    <w:basedOn w:val="Standard"/>
    <w:semiHidden/>
    <w:rsid w:val="00591E10"/>
    <w:pPr>
      <w:shd w:val="clear" w:color="auto" w:fill="000080"/>
    </w:pPr>
    <w:rPr>
      <w:rFonts w:ascii="Tahoma" w:hAnsi="Tahoma" w:cs="Tahoma"/>
      <w:sz w:val="20"/>
      <w:szCs w:val="20"/>
    </w:rPr>
  </w:style>
  <w:style w:type="paragraph" w:styleId="StandardWeb">
    <w:name w:val="Normal (Web)"/>
    <w:basedOn w:val="Standard"/>
    <w:rsid w:val="006F000E"/>
    <w:pPr>
      <w:spacing w:before="100" w:beforeAutospacing="1" w:after="100" w:afterAutospacing="1"/>
    </w:pPr>
  </w:style>
  <w:style w:type="character" w:styleId="Hyperlink">
    <w:name w:val="Hyperlink"/>
    <w:uiPriority w:val="99"/>
    <w:unhideWhenUsed/>
    <w:rsid w:val="00AF5849"/>
    <w:rPr>
      <w:color w:val="0000FF"/>
      <w:u w:val="single"/>
    </w:rPr>
  </w:style>
  <w:style w:type="paragraph" w:customStyle="1" w:styleId="Naslov1">
    <w:name w:val="Naslov1"/>
    <w:basedOn w:val="Standard"/>
    <w:autoRedefine/>
    <w:rsid w:val="006E68A8"/>
    <w:pPr>
      <w:spacing w:after="120"/>
      <w:jc w:val="both"/>
    </w:pPr>
    <w:rPr>
      <w:lang w:val="hr-HR"/>
    </w:rPr>
  </w:style>
  <w:style w:type="paragraph" w:customStyle="1" w:styleId="Naslov2">
    <w:name w:val="Naslov2"/>
    <w:basedOn w:val="Standard"/>
    <w:next w:val="Naslov1"/>
    <w:autoRedefine/>
    <w:rsid w:val="00812761"/>
    <w:pPr>
      <w:ind w:right="-7"/>
      <w:jc w:val="both"/>
    </w:pPr>
    <w:rPr>
      <w:i/>
      <w:lang w:val="hr-HR"/>
    </w:rPr>
  </w:style>
  <w:style w:type="paragraph" w:customStyle="1" w:styleId="Naslov3">
    <w:name w:val="Naslov3"/>
    <w:basedOn w:val="Standard"/>
    <w:next w:val="Naslov2"/>
    <w:autoRedefine/>
    <w:rsid w:val="00F4047D"/>
    <w:pPr>
      <w:ind w:right="-6"/>
      <w:jc w:val="both"/>
    </w:pPr>
    <w:rPr>
      <w:lang w:val="hr-HR"/>
    </w:rPr>
  </w:style>
  <w:style w:type="paragraph" w:styleId="Verzeichnis1">
    <w:name w:val="toc 1"/>
    <w:basedOn w:val="Standard"/>
    <w:next w:val="Standard"/>
    <w:autoRedefine/>
    <w:semiHidden/>
    <w:rsid w:val="00972B78"/>
    <w:pPr>
      <w:tabs>
        <w:tab w:val="right" w:leader="dot" w:pos="8636"/>
      </w:tabs>
    </w:pPr>
  </w:style>
  <w:style w:type="paragraph" w:styleId="Verzeichnis2">
    <w:name w:val="toc 2"/>
    <w:basedOn w:val="Standard"/>
    <w:next w:val="Standard"/>
    <w:autoRedefine/>
    <w:semiHidden/>
    <w:rsid w:val="00B05313"/>
    <w:pPr>
      <w:ind w:left="240"/>
    </w:pPr>
  </w:style>
  <w:style w:type="paragraph" w:styleId="Verzeichnis3">
    <w:name w:val="toc 3"/>
    <w:basedOn w:val="Standard"/>
    <w:next w:val="Standard"/>
    <w:autoRedefine/>
    <w:semiHidden/>
    <w:rsid w:val="00B05313"/>
    <w:pPr>
      <w:ind w:left="480"/>
    </w:pPr>
  </w:style>
  <w:style w:type="character" w:styleId="Kommentarzeichen">
    <w:name w:val="annotation reference"/>
    <w:rsid w:val="00D24516"/>
    <w:rPr>
      <w:sz w:val="16"/>
      <w:szCs w:val="16"/>
    </w:rPr>
  </w:style>
  <w:style w:type="paragraph" w:styleId="Kommentartext">
    <w:name w:val="annotation text"/>
    <w:basedOn w:val="Standard"/>
    <w:link w:val="KommentartextZchn"/>
    <w:rsid w:val="00D24516"/>
    <w:rPr>
      <w:sz w:val="20"/>
      <w:szCs w:val="20"/>
    </w:rPr>
  </w:style>
  <w:style w:type="character" w:customStyle="1" w:styleId="KommentartextZchn">
    <w:name w:val="Kommentartext Zchn"/>
    <w:link w:val="Kommentartext"/>
    <w:rsid w:val="00D24516"/>
    <w:rPr>
      <w:lang w:val="en-US" w:eastAsia="en-US"/>
    </w:rPr>
  </w:style>
  <w:style w:type="paragraph" w:styleId="Kommentarthema">
    <w:name w:val="annotation subject"/>
    <w:basedOn w:val="Kommentartext"/>
    <w:next w:val="Kommentartext"/>
    <w:link w:val="KommentarthemaZchn"/>
    <w:rsid w:val="00D24516"/>
    <w:rPr>
      <w:b/>
      <w:bCs/>
    </w:rPr>
  </w:style>
  <w:style w:type="character" w:customStyle="1" w:styleId="KommentarthemaZchn">
    <w:name w:val="Kommentarthema Zchn"/>
    <w:link w:val="Kommentarthema"/>
    <w:rsid w:val="00D24516"/>
    <w:rPr>
      <w:b/>
      <w:bCs/>
      <w:lang w:val="en-US" w:eastAsia="en-US"/>
    </w:rPr>
  </w:style>
  <w:style w:type="paragraph" w:customStyle="1" w:styleId="Revision1">
    <w:name w:val="Revision1"/>
    <w:hidden/>
    <w:uiPriority w:val="99"/>
    <w:semiHidden/>
    <w:rsid w:val="00E86399"/>
    <w:rPr>
      <w:sz w:val="24"/>
      <w:szCs w:val="24"/>
      <w:lang w:val="en-US" w:eastAsia="en-US"/>
    </w:rPr>
  </w:style>
  <w:style w:type="character" w:styleId="BesuchterLink">
    <w:name w:val="FollowedHyperlink"/>
    <w:rsid w:val="00DD33B2"/>
    <w:rPr>
      <w:color w:val="800080"/>
      <w:u w:val="single"/>
    </w:rPr>
  </w:style>
  <w:style w:type="character" w:styleId="NichtaufgelsteErwhnung">
    <w:name w:val="Unresolved Mention"/>
    <w:uiPriority w:val="99"/>
    <w:semiHidden/>
    <w:unhideWhenUsed/>
    <w:rsid w:val="00CC2464"/>
    <w:rPr>
      <w:color w:val="605E5C"/>
      <w:shd w:val="clear" w:color="auto" w:fill="E1DFDD"/>
    </w:rPr>
  </w:style>
  <w:style w:type="paragraph" w:customStyle="1" w:styleId="xxs">
    <w:name w:val="xxs"/>
    <w:basedOn w:val="Standard"/>
    <w:rsid w:val="00872347"/>
    <w:pPr>
      <w:spacing w:before="100" w:beforeAutospacing="1" w:after="100" w:afterAutospacing="1"/>
    </w:pPr>
  </w:style>
  <w:style w:type="paragraph" w:styleId="berarbeitung">
    <w:name w:val="Revision"/>
    <w:hidden/>
    <w:uiPriority w:val="99"/>
    <w:semiHidden/>
    <w:rsid w:val="009377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0398">
      <w:bodyDiv w:val="1"/>
      <w:marLeft w:val="0"/>
      <w:marRight w:val="0"/>
      <w:marTop w:val="0"/>
      <w:marBottom w:val="0"/>
      <w:divBdr>
        <w:top w:val="none" w:sz="0" w:space="0" w:color="auto"/>
        <w:left w:val="none" w:sz="0" w:space="0" w:color="auto"/>
        <w:bottom w:val="none" w:sz="0" w:space="0" w:color="auto"/>
        <w:right w:val="none" w:sz="0" w:space="0" w:color="auto"/>
      </w:divBdr>
      <w:divsChild>
        <w:div w:id="1158302009">
          <w:marLeft w:val="0"/>
          <w:marRight w:val="501"/>
          <w:marTop w:val="0"/>
          <w:marBottom w:val="0"/>
          <w:divBdr>
            <w:top w:val="none" w:sz="0" w:space="0" w:color="auto"/>
            <w:left w:val="none" w:sz="0" w:space="0" w:color="auto"/>
            <w:bottom w:val="none" w:sz="0" w:space="0" w:color="auto"/>
            <w:right w:val="none" w:sz="0" w:space="0" w:color="auto"/>
          </w:divBdr>
        </w:div>
      </w:divsChild>
    </w:div>
    <w:div w:id="1021586918">
      <w:bodyDiv w:val="1"/>
      <w:marLeft w:val="0"/>
      <w:marRight w:val="0"/>
      <w:marTop w:val="0"/>
      <w:marBottom w:val="0"/>
      <w:divBdr>
        <w:top w:val="none" w:sz="0" w:space="0" w:color="auto"/>
        <w:left w:val="none" w:sz="0" w:space="0" w:color="auto"/>
        <w:bottom w:val="none" w:sz="0" w:space="0" w:color="auto"/>
        <w:right w:val="none" w:sz="0" w:space="0" w:color="auto"/>
      </w:divBdr>
    </w:div>
    <w:div w:id="1203978755">
      <w:bodyDiv w:val="1"/>
      <w:marLeft w:val="0"/>
      <w:marRight w:val="0"/>
      <w:marTop w:val="0"/>
      <w:marBottom w:val="0"/>
      <w:divBdr>
        <w:top w:val="none" w:sz="0" w:space="0" w:color="auto"/>
        <w:left w:val="none" w:sz="0" w:space="0" w:color="auto"/>
        <w:bottom w:val="none" w:sz="0" w:space="0" w:color="auto"/>
        <w:right w:val="none" w:sz="0" w:space="0" w:color="auto"/>
      </w:divBdr>
      <w:divsChild>
        <w:div w:id="4987040">
          <w:marLeft w:val="0"/>
          <w:marRight w:val="0"/>
          <w:marTop w:val="0"/>
          <w:marBottom w:val="0"/>
          <w:divBdr>
            <w:top w:val="none" w:sz="0" w:space="0" w:color="auto"/>
            <w:left w:val="none" w:sz="0" w:space="0" w:color="auto"/>
            <w:bottom w:val="none" w:sz="0" w:space="0" w:color="auto"/>
            <w:right w:val="none" w:sz="0" w:space="0" w:color="auto"/>
          </w:divBdr>
          <w:divsChild>
            <w:div w:id="1667702669">
              <w:marLeft w:val="0"/>
              <w:marRight w:val="0"/>
              <w:marTop w:val="0"/>
              <w:marBottom w:val="0"/>
              <w:divBdr>
                <w:top w:val="none" w:sz="0" w:space="0" w:color="auto"/>
                <w:left w:val="none" w:sz="0" w:space="0" w:color="auto"/>
                <w:bottom w:val="none" w:sz="0" w:space="0" w:color="auto"/>
                <w:right w:val="none" w:sz="0" w:space="0" w:color="auto"/>
              </w:divBdr>
              <w:divsChild>
                <w:div w:id="1880780083">
                  <w:marLeft w:val="0"/>
                  <w:marRight w:val="0"/>
                  <w:marTop w:val="0"/>
                  <w:marBottom w:val="0"/>
                  <w:divBdr>
                    <w:top w:val="none" w:sz="0" w:space="0" w:color="auto"/>
                    <w:left w:val="none" w:sz="0" w:space="0" w:color="auto"/>
                    <w:bottom w:val="none" w:sz="0" w:space="0" w:color="auto"/>
                    <w:right w:val="none" w:sz="0" w:space="0" w:color="auto"/>
                  </w:divBdr>
                  <w:divsChild>
                    <w:div w:id="1246376726">
                      <w:marLeft w:val="0"/>
                      <w:marRight w:val="0"/>
                      <w:marTop w:val="0"/>
                      <w:marBottom w:val="0"/>
                      <w:divBdr>
                        <w:top w:val="none" w:sz="0" w:space="0" w:color="auto"/>
                        <w:left w:val="none" w:sz="0" w:space="0" w:color="auto"/>
                        <w:bottom w:val="none" w:sz="0" w:space="0" w:color="auto"/>
                        <w:right w:val="none" w:sz="0" w:space="0" w:color="auto"/>
                      </w:divBdr>
                      <w:divsChild>
                        <w:div w:id="488786644">
                          <w:marLeft w:val="0"/>
                          <w:marRight w:val="0"/>
                          <w:marTop w:val="125"/>
                          <w:marBottom w:val="125"/>
                          <w:divBdr>
                            <w:top w:val="none" w:sz="0" w:space="0" w:color="auto"/>
                            <w:left w:val="none" w:sz="0" w:space="0" w:color="auto"/>
                            <w:bottom w:val="none" w:sz="0" w:space="0" w:color="auto"/>
                            <w:right w:val="none" w:sz="0" w:space="0" w:color="auto"/>
                          </w:divBdr>
                          <w:divsChild>
                            <w:div w:id="2136604993">
                              <w:marLeft w:val="0"/>
                              <w:marRight w:val="0"/>
                              <w:marTop w:val="0"/>
                              <w:marBottom w:val="0"/>
                              <w:divBdr>
                                <w:top w:val="none" w:sz="0" w:space="0" w:color="auto"/>
                                <w:left w:val="none" w:sz="0" w:space="0" w:color="auto"/>
                                <w:bottom w:val="none" w:sz="0" w:space="0" w:color="auto"/>
                                <w:right w:val="none" w:sz="0" w:space="0" w:color="auto"/>
                              </w:divBdr>
                              <w:divsChild>
                                <w:div w:id="689186632">
                                  <w:marLeft w:val="0"/>
                                  <w:marRight w:val="0"/>
                                  <w:marTop w:val="0"/>
                                  <w:marBottom w:val="0"/>
                                  <w:divBdr>
                                    <w:top w:val="none" w:sz="0" w:space="0" w:color="auto"/>
                                    <w:left w:val="none" w:sz="0" w:space="0" w:color="auto"/>
                                    <w:bottom w:val="none" w:sz="0" w:space="0" w:color="auto"/>
                                    <w:right w:val="none" w:sz="0" w:space="0" w:color="auto"/>
                                  </w:divBdr>
                                  <w:divsChild>
                                    <w:div w:id="627052793">
                                      <w:marLeft w:val="0"/>
                                      <w:marRight w:val="0"/>
                                      <w:marTop w:val="0"/>
                                      <w:marBottom w:val="0"/>
                                      <w:divBdr>
                                        <w:top w:val="none" w:sz="0" w:space="0" w:color="auto"/>
                                        <w:left w:val="none" w:sz="0" w:space="0" w:color="auto"/>
                                        <w:bottom w:val="none" w:sz="0" w:space="0" w:color="auto"/>
                                        <w:right w:val="none" w:sz="0" w:space="0" w:color="auto"/>
                                      </w:divBdr>
                                      <w:divsChild>
                                        <w:div w:id="934284964">
                                          <w:marLeft w:val="0"/>
                                          <w:marRight w:val="0"/>
                                          <w:marTop w:val="0"/>
                                          <w:marBottom w:val="0"/>
                                          <w:divBdr>
                                            <w:top w:val="none" w:sz="0" w:space="0" w:color="auto"/>
                                            <w:left w:val="none" w:sz="0" w:space="0" w:color="auto"/>
                                            <w:bottom w:val="none" w:sz="0" w:space="0" w:color="auto"/>
                                            <w:right w:val="none" w:sz="0" w:space="0" w:color="auto"/>
                                          </w:divBdr>
                                          <w:divsChild>
                                            <w:div w:id="1145707533">
                                              <w:marLeft w:val="0"/>
                                              <w:marRight w:val="0"/>
                                              <w:marTop w:val="0"/>
                                              <w:marBottom w:val="0"/>
                                              <w:divBdr>
                                                <w:top w:val="none" w:sz="0" w:space="0" w:color="auto"/>
                                                <w:left w:val="none" w:sz="0" w:space="0" w:color="auto"/>
                                                <w:bottom w:val="none" w:sz="0" w:space="0" w:color="auto"/>
                                                <w:right w:val="none" w:sz="0" w:space="0" w:color="auto"/>
                                              </w:divBdr>
                                              <w:divsChild>
                                                <w:div w:id="1854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936014">
      <w:bodyDiv w:val="1"/>
      <w:marLeft w:val="0"/>
      <w:marRight w:val="0"/>
      <w:marTop w:val="0"/>
      <w:marBottom w:val="0"/>
      <w:divBdr>
        <w:top w:val="none" w:sz="0" w:space="0" w:color="auto"/>
        <w:left w:val="none" w:sz="0" w:space="0" w:color="auto"/>
        <w:bottom w:val="none" w:sz="0" w:space="0" w:color="auto"/>
        <w:right w:val="none" w:sz="0" w:space="0" w:color="auto"/>
      </w:divBdr>
      <w:divsChild>
        <w:div w:id="838496270">
          <w:marLeft w:val="0"/>
          <w:marRight w:val="0"/>
          <w:marTop w:val="0"/>
          <w:marBottom w:val="0"/>
          <w:divBdr>
            <w:top w:val="none" w:sz="0" w:space="0" w:color="auto"/>
            <w:left w:val="none" w:sz="0" w:space="0" w:color="auto"/>
            <w:bottom w:val="none" w:sz="0" w:space="0" w:color="auto"/>
            <w:right w:val="none" w:sz="0" w:space="0" w:color="auto"/>
          </w:divBdr>
        </w:div>
      </w:divsChild>
    </w:div>
    <w:div w:id="1779328109">
      <w:bodyDiv w:val="1"/>
      <w:marLeft w:val="0"/>
      <w:marRight w:val="0"/>
      <w:marTop w:val="0"/>
      <w:marBottom w:val="0"/>
      <w:divBdr>
        <w:top w:val="none" w:sz="0" w:space="0" w:color="auto"/>
        <w:left w:val="none" w:sz="0" w:space="0" w:color="auto"/>
        <w:bottom w:val="none" w:sz="0" w:space="0" w:color="auto"/>
        <w:right w:val="none" w:sz="0" w:space="0" w:color="auto"/>
      </w:divBdr>
      <w:divsChild>
        <w:div w:id="452754994">
          <w:marLeft w:val="0"/>
          <w:marRight w:val="501"/>
          <w:marTop w:val="0"/>
          <w:marBottom w:val="0"/>
          <w:divBdr>
            <w:top w:val="none" w:sz="0" w:space="0" w:color="auto"/>
            <w:left w:val="none" w:sz="0" w:space="0" w:color="auto"/>
            <w:bottom w:val="none" w:sz="0" w:space="0" w:color="auto"/>
            <w:right w:val="none" w:sz="0" w:space="0" w:color="auto"/>
          </w:divBdr>
        </w:div>
      </w:divsChild>
    </w:div>
    <w:div w:id="1781678826">
      <w:bodyDiv w:val="1"/>
      <w:marLeft w:val="0"/>
      <w:marRight w:val="0"/>
      <w:marTop w:val="0"/>
      <w:marBottom w:val="0"/>
      <w:divBdr>
        <w:top w:val="none" w:sz="0" w:space="0" w:color="auto"/>
        <w:left w:val="none" w:sz="0" w:space="0" w:color="auto"/>
        <w:bottom w:val="none" w:sz="0" w:space="0" w:color="auto"/>
        <w:right w:val="none" w:sz="0" w:space="0" w:color="auto"/>
      </w:divBdr>
      <w:divsChild>
        <w:div w:id="367411744">
          <w:marLeft w:val="0"/>
          <w:marRight w:val="501"/>
          <w:marTop w:val="0"/>
          <w:marBottom w:val="0"/>
          <w:divBdr>
            <w:top w:val="none" w:sz="0" w:space="0" w:color="auto"/>
            <w:left w:val="none" w:sz="0" w:space="0" w:color="auto"/>
            <w:bottom w:val="none" w:sz="0" w:space="0" w:color="auto"/>
            <w:right w:val="none" w:sz="0" w:space="0" w:color="auto"/>
          </w:divBdr>
        </w:div>
      </w:divsChild>
    </w:div>
    <w:div w:id="1811094051">
      <w:bodyDiv w:val="1"/>
      <w:marLeft w:val="0"/>
      <w:marRight w:val="0"/>
      <w:marTop w:val="0"/>
      <w:marBottom w:val="0"/>
      <w:divBdr>
        <w:top w:val="none" w:sz="0" w:space="0" w:color="auto"/>
        <w:left w:val="none" w:sz="0" w:space="0" w:color="auto"/>
        <w:bottom w:val="none" w:sz="0" w:space="0" w:color="auto"/>
        <w:right w:val="none" w:sz="0" w:space="0" w:color="auto"/>
      </w:divBdr>
      <w:divsChild>
        <w:div w:id="760949202">
          <w:marLeft w:val="0"/>
          <w:marRight w:val="0"/>
          <w:marTop w:val="0"/>
          <w:marBottom w:val="0"/>
          <w:divBdr>
            <w:top w:val="none" w:sz="0" w:space="0" w:color="auto"/>
            <w:left w:val="none" w:sz="0" w:space="0" w:color="auto"/>
            <w:bottom w:val="none" w:sz="0" w:space="0" w:color="auto"/>
            <w:right w:val="none" w:sz="0" w:space="0" w:color="auto"/>
          </w:divBdr>
        </w:div>
      </w:divsChild>
    </w:div>
    <w:div w:id="2012174019">
      <w:bodyDiv w:val="1"/>
      <w:marLeft w:val="0"/>
      <w:marRight w:val="0"/>
      <w:marTop w:val="0"/>
      <w:marBottom w:val="0"/>
      <w:divBdr>
        <w:top w:val="none" w:sz="0" w:space="0" w:color="auto"/>
        <w:left w:val="none" w:sz="0" w:space="0" w:color="auto"/>
        <w:bottom w:val="none" w:sz="0" w:space="0" w:color="auto"/>
        <w:right w:val="none" w:sz="0" w:space="0" w:color="auto"/>
      </w:divBdr>
      <w:divsChild>
        <w:div w:id="2136949454">
          <w:marLeft w:val="0"/>
          <w:marRight w:val="0"/>
          <w:marTop w:val="0"/>
          <w:marBottom w:val="0"/>
          <w:divBdr>
            <w:top w:val="none" w:sz="0" w:space="0" w:color="auto"/>
            <w:left w:val="none" w:sz="0" w:space="0" w:color="auto"/>
            <w:bottom w:val="none" w:sz="0" w:space="0" w:color="auto"/>
            <w:right w:val="none" w:sz="0" w:space="0" w:color="auto"/>
          </w:divBdr>
        </w:div>
      </w:divsChild>
    </w:div>
    <w:div w:id="2018650493">
      <w:bodyDiv w:val="1"/>
      <w:marLeft w:val="0"/>
      <w:marRight w:val="0"/>
      <w:marTop w:val="0"/>
      <w:marBottom w:val="0"/>
      <w:divBdr>
        <w:top w:val="none" w:sz="0" w:space="0" w:color="auto"/>
        <w:left w:val="none" w:sz="0" w:space="0" w:color="auto"/>
        <w:bottom w:val="none" w:sz="0" w:space="0" w:color="auto"/>
        <w:right w:val="none" w:sz="0" w:space="0" w:color="auto"/>
      </w:divBdr>
      <w:divsChild>
        <w:div w:id="116027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arlament.ba/olaw/OLawDetails?lawId=92598" TargetMode="External"/><Relationship Id="rId2" Type="http://schemas.openxmlformats.org/officeDocument/2006/relationships/hyperlink" Target="https://ti-bih.org/wp-content/uploads/2018/12/Vetting-procedure-u-pravosudju_10.12.2018.pdf" TargetMode="External"/><Relationship Id="rId1" Type="http://schemas.openxmlformats.org/officeDocument/2006/relationships/hyperlink" Target="https://strasbourgobservers.com/2021/06/25/xhoxhaj-v-albania-the-aftermath-of-the-vetting-process-in-albani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89EE-CC23-4537-B253-FF4990C0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4493</Words>
  <Characters>28306</Characters>
  <Application>Microsoft Office Word</Application>
  <DocSecurity>0</DocSecurity>
  <Lines>235</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Primjenjivost zakona  u predmetima ratnih zločina na području BiH</vt:lpstr>
      <vt:lpstr>Primjenjivost zakona  u predmetima ratnih zločina na području BiH</vt:lpstr>
    </vt:vector>
  </TitlesOfParts>
  <Company>Sud Bosne i Hercegovine</Company>
  <LinksUpToDate>false</LinksUpToDate>
  <CharactersWithSpaces>32734</CharactersWithSpaces>
  <SharedDoc>false</SharedDoc>
  <HLinks>
    <vt:vector size="6" baseType="variant">
      <vt:variant>
        <vt:i4>5898309</vt:i4>
      </vt:variant>
      <vt:variant>
        <vt:i4>0</vt:i4>
      </vt:variant>
      <vt:variant>
        <vt:i4>0</vt:i4>
      </vt:variant>
      <vt:variant>
        <vt:i4>5</vt:i4>
      </vt:variant>
      <vt:variant>
        <vt:lpwstr>https://strasbourgobservers.com/2021/06/25/xhoxhaj-v-albania-the-aftermath-of-the-vetting-process-in-albania/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Primjenjivost zakona  u predmetima ratnih zločina na području BiH</dc:title>
  <dc:subject/>
  <dc:creator>MIR</dc:creator>
  <cp:keywords/>
  <cp:lastModifiedBy>StudentIn</cp:lastModifiedBy>
  <cp:revision>9</cp:revision>
  <cp:lastPrinted>2011-12-21T08:10:00Z</cp:lastPrinted>
  <dcterms:created xsi:type="dcterms:W3CDTF">2022-05-19T08:37:00Z</dcterms:created>
  <dcterms:modified xsi:type="dcterms:W3CDTF">2022-05-29T21:54:00Z</dcterms:modified>
</cp:coreProperties>
</file>